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1980"/>
        <w:gridCol w:w="3451"/>
        <w:gridCol w:w="7565"/>
      </w:tblGrid>
      <w:tr w:rsidR="00CA0AE6" w:rsidRPr="00CA0AE6" w:rsidTr="00844074">
        <w:trPr>
          <w:trHeight w:val="2476"/>
        </w:trPr>
        <w:tc>
          <w:tcPr>
            <w:tcW w:w="1980" w:type="dxa"/>
            <w:vMerge w:val="restart"/>
            <w:vAlign w:val="center"/>
          </w:tcPr>
          <w:p w:rsidR="00CA0AE6" w:rsidRPr="00CA0AE6" w:rsidRDefault="00CA0AE6" w:rsidP="00844074">
            <w:pPr>
              <w:jc w:val="center"/>
              <w:rPr>
                <w:rFonts w:ascii="Century" w:hAnsi="Century" w:cs="Arial"/>
                <w:b/>
                <w:sz w:val="20"/>
                <w:szCs w:val="20"/>
              </w:rPr>
            </w:pPr>
            <w:r w:rsidRPr="00CA0AE6">
              <w:rPr>
                <w:rFonts w:ascii="Century" w:hAnsi="Century" w:cs="Arial"/>
                <w:b/>
                <w:sz w:val="20"/>
                <w:szCs w:val="20"/>
              </w:rPr>
              <w:t>Disposiciones</w:t>
            </w:r>
            <w:r w:rsidR="00844074">
              <w:rPr>
                <w:rFonts w:ascii="Century" w:hAnsi="Century" w:cs="Arial"/>
                <w:b/>
                <w:sz w:val="20"/>
                <w:szCs w:val="20"/>
              </w:rPr>
              <w:t xml:space="preserve"> normativas</w:t>
            </w:r>
          </w:p>
        </w:tc>
        <w:tc>
          <w:tcPr>
            <w:tcW w:w="3451" w:type="dxa"/>
          </w:tcPr>
          <w:p w:rsidR="00CA0AE6" w:rsidRPr="00F5231E" w:rsidRDefault="00CA0AE6" w:rsidP="008568CF">
            <w:pPr>
              <w:pStyle w:val="Prrafodelista"/>
              <w:spacing w:line="259" w:lineRule="auto"/>
              <w:ind w:left="323"/>
              <w:jc w:val="both"/>
              <w:rPr>
                <w:rFonts w:ascii="Century" w:hAnsi="Century" w:cs="Arial"/>
                <w:sz w:val="20"/>
                <w:szCs w:val="20"/>
              </w:rPr>
            </w:pPr>
          </w:p>
          <w:p w:rsidR="00CA0AE6" w:rsidRPr="00F5231E" w:rsidRDefault="00CA0AE6" w:rsidP="00CA0AE6">
            <w:pPr>
              <w:pStyle w:val="Prrafodelista"/>
              <w:numPr>
                <w:ilvl w:val="0"/>
                <w:numId w:val="2"/>
              </w:numPr>
              <w:spacing w:line="259" w:lineRule="auto"/>
              <w:ind w:left="323"/>
              <w:jc w:val="both"/>
              <w:rPr>
                <w:rFonts w:ascii="Century" w:hAnsi="Century" w:cs="Arial"/>
                <w:sz w:val="20"/>
                <w:szCs w:val="20"/>
              </w:rPr>
            </w:pPr>
            <w:r w:rsidRPr="00F5231E">
              <w:rPr>
                <w:rFonts w:ascii="Century" w:hAnsi="Century" w:cs="Arial"/>
                <w:sz w:val="20"/>
                <w:szCs w:val="20"/>
              </w:rPr>
              <w:t xml:space="preserve">Reducir los rendimientos del Programa para mujeres, adultos mayores y personas con discapacidad, atendiendo a que son trabajos no especializados. </w:t>
            </w:r>
          </w:p>
        </w:tc>
        <w:tc>
          <w:tcPr>
            <w:tcW w:w="7565" w:type="dxa"/>
          </w:tcPr>
          <w:p w:rsidR="00CA0AE6" w:rsidRPr="00CA0AE6" w:rsidRDefault="00CA0AE6" w:rsidP="008568CF">
            <w:pPr>
              <w:jc w:val="both"/>
              <w:rPr>
                <w:rFonts w:ascii="Century" w:hAnsi="Century" w:cs="Arial"/>
                <w:b/>
                <w:sz w:val="20"/>
                <w:szCs w:val="20"/>
              </w:rPr>
            </w:pPr>
            <w:r w:rsidRPr="00CA0AE6">
              <w:rPr>
                <w:rFonts w:ascii="Century" w:hAnsi="Century" w:cs="Arial"/>
                <w:b/>
                <w:sz w:val="20"/>
                <w:szCs w:val="20"/>
              </w:rPr>
              <w:t>Se suscribe la propuesta</w:t>
            </w:r>
          </w:p>
          <w:p w:rsidR="00CA0AE6" w:rsidRPr="00CA0AE6" w:rsidRDefault="00CA0AE6" w:rsidP="008568CF">
            <w:pPr>
              <w:jc w:val="both"/>
              <w:rPr>
                <w:rFonts w:ascii="Century" w:hAnsi="Century" w:cs="Arial"/>
                <w:b/>
                <w:sz w:val="20"/>
                <w:szCs w:val="20"/>
              </w:rPr>
            </w:pPr>
          </w:p>
          <w:p w:rsidR="00CA0AE6" w:rsidRPr="00CA0AE6" w:rsidRDefault="00CA0AE6" w:rsidP="008568CF">
            <w:pPr>
              <w:jc w:val="both"/>
              <w:rPr>
                <w:rFonts w:ascii="Century" w:hAnsi="Century" w:cs="Arial"/>
                <w:sz w:val="20"/>
                <w:szCs w:val="20"/>
              </w:rPr>
            </w:pPr>
            <w:r>
              <w:rPr>
                <w:rFonts w:ascii="Century" w:hAnsi="Century" w:cs="Arial"/>
                <w:sz w:val="20"/>
                <w:szCs w:val="20"/>
              </w:rPr>
              <w:t>Se</w:t>
            </w:r>
            <w:r w:rsidRPr="00CA0AE6">
              <w:rPr>
                <w:rFonts w:ascii="Century" w:hAnsi="Century" w:cs="Arial"/>
                <w:sz w:val="20"/>
                <w:szCs w:val="20"/>
              </w:rPr>
              <w:t xml:space="preserve"> instrumenta</w:t>
            </w:r>
            <w:r>
              <w:rPr>
                <w:rFonts w:ascii="Century" w:hAnsi="Century" w:cs="Arial"/>
                <w:sz w:val="20"/>
                <w:szCs w:val="20"/>
              </w:rPr>
              <w:t>ran</w:t>
            </w:r>
            <w:r w:rsidRPr="00CA0AE6">
              <w:rPr>
                <w:rFonts w:ascii="Century" w:hAnsi="Century" w:cs="Arial"/>
                <w:sz w:val="20"/>
                <w:szCs w:val="20"/>
              </w:rPr>
              <w:t xml:space="preserve"> Mesas de Trabajo en coordinación con la Dirección General de Servicios Técnicos de </w:t>
            </w:r>
            <w:r w:rsidR="00AA7F2E">
              <w:rPr>
                <w:rFonts w:ascii="Century" w:hAnsi="Century" w:cs="Arial"/>
                <w:sz w:val="20"/>
                <w:szCs w:val="20"/>
              </w:rPr>
              <w:t>la</w:t>
            </w:r>
            <w:r w:rsidRPr="00CA0AE6">
              <w:rPr>
                <w:rFonts w:ascii="Century" w:hAnsi="Century" w:cs="Arial"/>
                <w:sz w:val="20"/>
                <w:szCs w:val="20"/>
              </w:rPr>
              <w:t xml:space="preserve"> Secretaría</w:t>
            </w:r>
            <w:r w:rsidR="00AA7F2E">
              <w:rPr>
                <w:rFonts w:ascii="Century" w:hAnsi="Century" w:cs="Arial"/>
                <w:sz w:val="20"/>
                <w:szCs w:val="20"/>
              </w:rPr>
              <w:t xml:space="preserve"> de Comunicaciones y Transportes</w:t>
            </w:r>
            <w:r w:rsidRPr="00CA0AE6">
              <w:rPr>
                <w:rFonts w:ascii="Century" w:hAnsi="Century" w:cs="Arial"/>
                <w:sz w:val="20"/>
                <w:szCs w:val="20"/>
              </w:rPr>
              <w:t>, a fin de evaluar las adecuaciones al</w:t>
            </w:r>
            <w:r>
              <w:rPr>
                <w:rFonts w:ascii="Century" w:hAnsi="Century" w:cs="Arial"/>
                <w:sz w:val="20"/>
                <w:szCs w:val="20"/>
              </w:rPr>
              <w:t xml:space="preserve"> rubro de</w:t>
            </w:r>
            <w:r w:rsidRPr="00CA0AE6">
              <w:rPr>
                <w:rFonts w:ascii="Century" w:hAnsi="Century" w:cs="Arial"/>
                <w:sz w:val="20"/>
                <w:szCs w:val="20"/>
              </w:rPr>
              <w:t xml:space="preserve"> rendimientos </w:t>
            </w:r>
            <w:r>
              <w:rPr>
                <w:rFonts w:ascii="Century" w:hAnsi="Century" w:cs="Arial"/>
                <w:sz w:val="20"/>
                <w:szCs w:val="20"/>
              </w:rPr>
              <w:t xml:space="preserve">establecido en </w:t>
            </w:r>
            <w:r w:rsidRPr="00CA0AE6">
              <w:rPr>
                <w:rFonts w:ascii="Century" w:hAnsi="Century" w:cs="Arial"/>
                <w:sz w:val="20"/>
                <w:szCs w:val="20"/>
              </w:rPr>
              <w:t xml:space="preserve">el Instructivo </w:t>
            </w:r>
            <w:r>
              <w:rPr>
                <w:rFonts w:ascii="Century" w:hAnsi="Century" w:cs="Arial"/>
                <w:sz w:val="20"/>
                <w:szCs w:val="20"/>
              </w:rPr>
              <w:t xml:space="preserve">Técnico </w:t>
            </w:r>
            <w:r w:rsidRPr="00CA0AE6">
              <w:rPr>
                <w:rFonts w:ascii="Century" w:hAnsi="Century" w:cs="Arial"/>
                <w:sz w:val="20"/>
                <w:szCs w:val="20"/>
              </w:rPr>
              <w:t xml:space="preserve">del PET-SCT 2015, </w:t>
            </w:r>
            <w:r>
              <w:rPr>
                <w:rFonts w:ascii="Century" w:hAnsi="Century" w:cs="Arial"/>
                <w:sz w:val="20"/>
                <w:szCs w:val="20"/>
              </w:rPr>
              <w:t>el cual se</w:t>
            </w:r>
            <w:r w:rsidRPr="00CA0AE6">
              <w:rPr>
                <w:rFonts w:ascii="Century" w:hAnsi="Century" w:cs="Arial"/>
                <w:sz w:val="20"/>
                <w:szCs w:val="20"/>
              </w:rPr>
              <w:t xml:space="preserve"> publicará dentro de los 45 días hábiles siguientes a la publicación de las Reglas de Operación del PET 2015.</w:t>
            </w:r>
          </w:p>
          <w:p w:rsidR="00CA0AE6" w:rsidRPr="00CA0AE6" w:rsidRDefault="00CA0AE6" w:rsidP="008568CF">
            <w:pPr>
              <w:jc w:val="both"/>
              <w:rPr>
                <w:rFonts w:ascii="Century" w:hAnsi="Century" w:cs="Arial"/>
                <w:sz w:val="20"/>
                <w:szCs w:val="20"/>
              </w:rPr>
            </w:pPr>
          </w:p>
          <w:p w:rsidR="00CA0AE6" w:rsidRPr="00CA0AE6" w:rsidRDefault="00CA0AE6" w:rsidP="00AA7F2E">
            <w:pPr>
              <w:spacing w:after="345"/>
              <w:jc w:val="both"/>
              <w:rPr>
                <w:rFonts w:ascii="Century" w:hAnsi="Century" w:cs="Arial"/>
                <w:b/>
                <w:sz w:val="20"/>
                <w:szCs w:val="20"/>
              </w:rPr>
            </w:pPr>
            <w:r>
              <w:rPr>
                <w:rFonts w:ascii="Century" w:hAnsi="Century" w:cs="Arial"/>
                <w:sz w:val="20"/>
                <w:szCs w:val="20"/>
              </w:rPr>
              <w:t xml:space="preserve">Dicha disposición se </w:t>
            </w:r>
            <w:r w:rsidRPr="00CA0AE6">
              <w:rPr>
                <w:rFonts w:ascii="Century" w:hAnsi="Century" w:cs="Arial"/>
                <w:sz w:val="20"/>
                <w:szCs w:val="20"/>
              </w:rPr>
              <w:t>publica</w:t>
            </w:r>
            <w:r>
              <w:rPr>
                <w:rFonts w:ascii="Century" w:hAnsi="Century" w:cs="Arial"/>
                <w:sz w:val="20"/>
                <w:szCs w:val="20"/>
              </w:rPr>
              <w:t>rá en el Portal WEB de la SCT.</w:t>
            </w:r>
          </w:p>
        </w:tc>
      </w:tr>
      <w:tr w:rsidR="00CA0AE6" w:rsidRPr="00CA0AE6" w:rsidTr="00CA0AE6">
        <w:trPr>
          <w:trHeight w:val="2278"/>
        </w:trPr>
        <w:tc>
          <w:tcPr>
            <w:tcW w:w="1980" w:type="dxa"/>
            <w:vMerge/>
          </w:tcPr>
          <w:p w:rsidR="00CA0AE6" w:rsidRPr="00CA0AE6" w:rsidRDefault="00CA0AE6" w:rsidP="008568CF">
            <w:pPr>
              <w:jc w:val="center"/>
              <w:rPr>
                <w:rFonts w:ascii="Century" w:hAnsi="Century" w:cs="Arial"/>
                <w:b/>
                <w:sz w:val="20"/>
                <w:szCs w:val="20"/>
              </w:rPr>
            </w:pPr>
          </w:p>
        </w:tc>
        <w:tc>
          <w:tcPr>
            <w:tcW w:w="3451" w:type="dxa"/>
          </w:tcPr>
          <w:p w:rsidR="00CA0AE6" w:rsidRPr="00F5231E" w:rsidRDefault="00CA0AE6" w:rsidP="00CA0AE6">
            <w:pPr>
              <w:pStyle w:val="Prrafodelista"/>
              <w:numPr>
                <w:ilvl w:val="0"/>
                <w:numId w:val="2"/>
              </w:numPr>
              <w:spacing w:line="259" w:lineRule="auto"/>
              <w:ind w:left="323"/>
              <w:jc w:val="both"/>
              <w:rPr>
                <w:rFonts w:ascii="Century" w:hAnsi="Century" w:cs="Arial"/>
                <w:sz w:val="20"/>
                <w:szCs w:val="20"/>
              </w:rPr>
            </w:pPr>
            <w:r w:rsidRPr="00F5231E">
              <w:rPr>
                <w:rFonts w:ascii="Century" w:hAnsi="Century" w:cs="Arial"/>
                <w:sz w:val="20"/>
                <w:szCs w:val="20"/>
              </w:rPr>
              <w:t>Analizar la viabilidad de la evaluación del PET-SCT, a través de una evaluación Específica o de Consistencia y Resultados, toda vez que la evaluación del PET ha estado a cargo de SEDESOL y SEMARNAT.</w:t>
            </w:r>
          </w:p>
        </w:tc>
        <w:tc>
          <w:tcPr>
            <w:tcW w:w="7565" w:type="dxa"/>
          </w:tcPr>
          <w:p w:rsidR="00CA0AE6" w:rsidRPr="00CA0AE6" w:rsidRDefault="00CA0AE6" w:rsidP="00CA0AE6">
            <w:pPr>
              <w:jc w:val="both"/>
              <w:rPr>
                <w:rFonts w:ascii="Century" w:hAnsi="Century" w:cs="Arial"/>
                <w:b/>
                <w:sz w:val="20"/>
                <w:szCs w:val="20"/>
              </w:rPr>
            </w:pPr>
            <w:r w:rsidRPr="00CA0AE6">
              <w:rPr>
                <w:rFonts w:ascii="Century" w:hAnsi="Century" w:cs="Arial"/>
                <w:b/>
                <w:sz w:val="20"/>
                <w:szCs w:val="20"/>
              </w:rPr>
              <w:t>Se suscribe la propuesta</w:t>
            </w:r>
          </w:p>
          <w:p w:rsidR="00CA0AE6" w:rsidRPr="00CA0AE6" w:rsidRDefault="00CA0AE6" w:rsidP="00CA0AE6">
            <w:pPr>
              <w:jc w:val="both"/>
              <w:rPr>
                <w:rFonts w:ascii="Century" w:hAnsi="Century" w:cs="Arial"/>
                <w:sz w:val="20"/>
                <w:szCs w:val="20"/>
              </w:rPr>
            </w:pPr>
          </w:p>
          <w:p w:rsidR="00CA0AE6" w:rsidRDefault="00CA0AE6" w:rsidP="00CA0AE6">
            <w:pPr>
              <w:ind w:right="-93"/>
              <w:jc w:val="both"/>
              <w:rPr>
                <w:rFonts w:ascii="Century" w:hAnsi="Century" w:cs="Arial"/>
                <w:sz w:val="20"/>
                <w:szCs w:val="20"/>
              </w:rPr>
            </w:pPr>
            <w:r>
              <w:rPr>
                <w:rFonts w:ascii="Century" w:hAnsi="Century" w:cs="Arial"/>
                <w:sz w:val="20"/>
                <w:szCs w:val="20"/>
              </w:rPr>
              <w:t>Se realizaran las gestiones administrativas ante las instancias correspondientes</w:t>
            </w:r>
            <w:r w:rsidR="00B3483D">
              <w:rPr>
                <w:rFonts w:ascii="Century" w:hAnsi="Century" w:cs="Arial"/>
                <w:sz w:val="20"/>
                <w:szCs w:val="20"/>
              </w:rPr>
              <w:t>, a fin de incluir la evaluación del Programa Presupuestario en el Programa Anual de Evaluación para el Ejercicio Fiscal 2015 de los Programas Federales de la Administración Pública</w:t>
            </w:r>
            <w:r w:rsidR="008E278B">
              <w:rPr>
                <w:rFonts w:ascii="Century" w:hAnsi="Century" w:cs="Arial"/>
                <w:sz w:val="20"/>
                <w:szCs w:val="20"/>
              </w:rPr>
              <w:t xml:space="preserve"> Federal (PAE-2015) o en caso contrario, llevar a cabo la evaluación de manera independiente conforme a las necesidades y recursos disponibles del Programa.</w:t>
            </w:r>
          </w:p>
          <w:p w:rsidR="00B3483D" w:rsidRDefault="00B3483D" w:rsidP="00CA0AE6">
            <w:pPr>
              <w:ind w:right="-93"/>
              <w:jc w:val="both"/>
              <w:rPr>
                <w:rFonts w:ascii="Century" w:hAnsi="Century" w:cs="Arial"/>
                <w:sz w:val="20"/>
                <w:szCs w:val="20"/>
              </w:rPr>
            </w:pPr>
          </w:p>
          <w:p w:rsidR="00CA0AE6" w:rsidRDefault="008E278B" w:rsidP="00F5231E">
            <w:pPr>
              <w:ind w:right="-93"/>
              <w:jc w:val="both"/>
              <w:rPr>
                <w:rFonts w:ascii="Century" w:hAnsi="Century" w:cs="Arial"/>
                <w:sz w:val="20"/>
                <w:szCs w:val="20"/>
              </w:rPr>
            </w:pPr>
            <w:r>
              <w:rPr>
                <w:rFonts w:ascii="Century" w:hAnsi="Century" w:cs="Arial"/>
                <w:sz w:val="20"/>
                <w:szCs w:val="20"/>
              </w:rPr>
              <w:t xml:space="preserve">El PAE 2015 se publicará </w:t>
            </w:r>
            <w:r w:rsidR="00F5231E">
              <w:rPr>
                <w:rFonts w:ascii="Century" w:hAnsi="Century" w:cs="Arial"/>
                <w:sz w:val="20"/>
                <w:szCs w:val="20"/>
              </w:rPr>
              <w:t xml:space="preserve">en la página electrónica </w:t>
            </w:r>
            <w:hyperlink r:id="rId8" w:history="1">
              <w:r w:rsidR="00F5231E" w:rsidRPr="00F041D8">
                <w:rPr>
                  <w:rStyle w:val="Hipervnculo"/>
                  <w:rFonts w:ascii="Century" w:hAnsi="Century" w:cs="Arial"/>
                  <w:sz w:val="20"/>
                  <w:szCs w:val="20"/>
                </w:rPr>
                <w:t>www.coneval.gob.mx</w:t>
              </w:r>
            </w:hyperlink>
            <w:r w:rsidR="00F5231E">
              <w:rPr>
                <w:rFonts w:ascii="Century" w:hAnsi="Century" w:cs="Arial"/>
                <w:sz w:val="20"/>
                <w:szCs w:val="20"/>
              </w:rPr>
              <w:t xml:space="preserve"> y la difusión y resultados de la evaluación conforme lo establecido en el lineamiento Vigésimo Sexto de los Lineamientos generales para la evaluación de los Programas Federales de la Administración Pública Federal.</w:t>
            </w:r>
          </w:p>
          <w:p w:rsidR="00F5231E" w:rsidRPr="00F5231E" w:rsidRDefault="00F5231E" w:rsidP="00F5231E">
            <w:pPr>
              <w:ind w:right="-93"/>
              <w:jc w:val="both"/>
              <w:rPr>
                <w:rFonts w:ascii="Century" w:hAnsi="Century" w:cs="Arial"/>
                <w:sz w:val="20"/>
                <w:szCs w:val="20"/>
              </w:rPr>
            </w:pPr>
          </w:p>
        </w:tc>
      </w:tr>
      <w:tr w:rsidR="00844074" w:rsidRPr="00CA0AE6" w:rsidTr="00844074">
        <w:trPr>
          <w:trHeight w:val="2655"/>
        </w:trPr>
        <w:tc>
          <w:tcPr>
            <w:tcW w:w="1980" w:type="dxa"/>
            <w:vAlign w:val="center"/>
          </w:tcPr>
          <w:p w:rsidR="00844074" w:rsidRPr="00CA0AE6" w:rsidRDefault="00844074" w:rsidP="00F5231E">
            <w:pPr>
              <w:jc w:val="center"/>
              <w:rPr>
                <w:rFonts w:ascii="Century" w:hAnsi="Century" w:cs="Arial"/>
                <w:b/>
                <w:sz w:val="20"/>
                <w:szCs w:val="20"/>
              </w:rPr>
            </w:pPr>
            <w:r>
              <w:rPr>
                <w:rFonts w:ascii="Century" w:hAnsi="Century" w:cs="Arial"/>
                <w:b/>
                <w:sz w:val="20"/>
                <w:szCs w:val="20"/>
              </w:rPr>
              <w:t>Proceso</w:t>
            </w:r>
          </w:p>
        </w:tc>
        <w:tc>
          <w:tcPr>
            <w:tcW w:w="3451" w:type="dxa"/>
          </w:tcPr>
          <w:p w:rsidR="00844074" w:rsidRPr="00F5231E" w:rsidRDefault="00844074" w:rsidP="00F5231E">
            <w:pPr>
              <w:pStyle w:val="Prrafodelista"/>
              <w:numPr>
                <w:ilvl w:val="0"/>
                <w:numId w:val="5"/>
              </w:numPr>
              <w:ind w:left="317"/>
              <w:jc w:val="both"/>
              <w:rPr>
                <w:rFonts w:ascii="Century" w:hAnsi="Century" w:cs="Arial"/>
                <w:sz w:val="20"/>
                <w:szCs w:val="20"/>
              </w:rPr>
            </w:pPr>
            <w:r w:rsidRPr="00F5231E">
              <w:rPr>
                <w:rFonts w:ascii="Century" w:hAnsi="Century" w:cs="Arial"/>
                <w:sz w:val="20"/>
                <w:szCs w:val="20"/>
              </w:rPr>
              <w:t>Agilizar el trámite del pago de jornales, para que los beneficiarios reciban oportunamente sus apoyos económicos (jornales).</w:t>
            </w:r>
          </w:p>
        </w:tc>
        <w:tc>
          <w:tcPr>
            <w:tcW w:w="7565" w:type="dxa"/>
          </w:tcPr>
          <w:p w:rsidR="00844074" w:rsidRPr="00CA0AE6" w:rsidRDefault="00844074" w:rsidP="00F5231E">
            <w:pPr>
              <w:jc w:val="both"/>
              <w:rPr>
                <w:rFonts w:ascii="Century" w:hAnsi="Century" w:cs="Arial"/>
                <w:b/>
                <w:sz w:val="20"/>
                <w:szCs w:val="20"/>
              </w:rPr>
            </w:pPr>
            <w:r w:rsidRPr="00CA0AE6">
              <w:rPr>
                <w:rFonts w:ascii="Century" w:hAnsi="Century" w:cs="Arial"/>
                <w:b/>
                <w:sz w:val="20"/>
                <w:szCs w:val="20"/>
              </w:rPr>
              <w:t>Se suscribe la propuesta</w:t>
            </w:r>
          </w:p>
          <w:p w:rsidR="00844074" w:rsidRPr="00CA0AE6" w:rsidRDefault="00844074" w:rsidP="00F5231E">
            <w:pPr>
              <w:jc w:val="both"/>
              <w:rPr>
                <w:rFonts w:ascii="Century" w:hAnsi="Century" w:cs="Arial"/>
                <w:sz w:val="20"/>
                <w:szCs w:val="20"/>
              </w:rPr>
            </w:pPr>
          </w:p>
          <w:p w:rsidR="00844074" w:rsidRDefault="00844074" w:rsidP="00C63184">
            <w:pPr>
              <w:jc w:val="both"/>
              <w:rPr>
                <w:rFonts w:ascii="Century" w:hAnsi="Century" w:cs="Arial"/>
                <w:sz w:val="20"/>
                <w:szCs w:val="20"/>
              </w:rPr>
            </w:pPr>
            <w:r>
              <w:rPr>
                <w:rFonts w:ascii="Century" w:hAnsi="Century" w:cs="Arial"/>
                <w:sz w:val="20"/>
                <w:szCs w:val="20"/>
              </w:rPr>
              <w:t>Analizar el proceso y/o procedimientos, a fin de identificar áreas de oportunidad y acciones de mejora que permitan disminuir los tiempos de pago al beneficiario. Asimismo, analizar la factibilidad de implementar nuevos esquemas financieros que permitan de igual forma que los beneficiarios reciban de manera oportuna los apoyos económicos.</w:t>
            </w:r>
          </w:p>
          <w:p w:rsidR="00844074" w:rsidRDefault="00844074" w:rsidP="00C63184">
            <w:pPr>
              <w:jc w:val="both"/>
              <w:rPr>
                <w:rFonts w:ascii="Century" w:hAnsi="Century" w:cs="Arial"/>
                <w:sz w:val="20"/>
                <w:szCs w:val="20"/>
              </w:rPr>
            </w:pPr>
          </w:p>
          <w:p w:rsidR="00844074" w:rsidRDefault="00844074" w:rsidP="00C63184">
            <w:pPr>
              <w:jc w:val="both"/>
              <w:rPr>
                <w:rFonts w:ascii="Century" w:hAnsi="Century" w:cs="Arial"/>
                <w:sz w:val="20"/>
                <w:szCs w:val="20"/>
              </w:rPr>
            </w:pPr>
            <w:r>
              <w:rPr>
                <w:rFonts w:ascii="Century" w:hAnsi="Century" w:cs="Arial"/>
                <w:sz w:val="20"/>
                <w:szCs w:val="20"/>
              </w:rPr>
              <w:t>El análisis del proceso se realizará durante el primer trimestre del año 2015 y la implementación de las mejoras durante el segundo trimestre del mismo año.</w:t>
            </w:r>
          </w:p>
          <w:p w:rsidR="00844074" w:rsidRPr="00CA0AE6" w:rsidRDefault="00844074" w:rsidP="00C63184">
            <w:pPr>
              <w:jc w:val="both"/>
              <w:rPr>
                <w:rFonts w:ascii="Century" w:hAnsi="Century" w:cs="Arial"/>
                <w:sz w:val="20"/>
                <w:szCs w:val="20"/>
              </w:rPr>
            </w:pPr>
          </w:p>
        </w:tc>
      </w:tr>
      <w:tr w:rsidR="006D1F5F" w:rsidRPr="00CA0AE6" w:rsidTr="00844074">
        <w:trPr>
          <w:trHeight w:val="3081"/>
        </w:trPr>
        <w:tc>
          <w:tcPr>
            <w:tcW w:w="1980" w:type="dxa"/>
            <w:vMerge w:val="restart"/>
          </w:tcPr>
          <w:p w:rsidR="006D1F5F" w:rsidRPr="00CA0AE6" w:rsidRDefault="00844074" w:rsidP="00F5231E">
            <w:pPr>
              <w:jc w:val="center"/>
              <w:rPr>
                <w:rFonts w:ascii="Century" w:hAnsi="Century" w:cs="Arial"/>
                <w:b/>
                <w:sz w:val="20"/>
                <w:szCs w:val="20"/>
              </w:rPr>
            </w:pPr>
            <w:r w:rsidRPr="00CA0AE6">
              <w:rPr>
                <w:rFonts w:ascii="Century" w:hAnsi="Century" w:cs="Arial"/>
                <w:b/>
                <w:sz w:val="20"/>
                <w:szCs w:val="20"/>
              </w:rPr>
              <w:lastRenderedPageBreak/>
              <w:t>Disposiciones</w:t>
            </w:r>
            <w:r>
              <w:rPr>
                <w:rFonts w:ascii="Century" w:hAnsi="Century" w:cs="Arial"/>
                <w:b/>
                <w:sz w:val="20"/>
                <w:szCs w:val="20"/>
              </w:rPr>
              <w:t xml:space="preserve"> normativas</w:t>
            </w:r>
          </w:p>
        </w:tc>
        <w:tc>
          <w:tcPr>
            <w:tcW w:w="3451" w:type="dxa"/>
          </w:tcPr>
          <w:p w:rsidR="006D1F5F" w:rsidRPr="005E04F1" w:rsidRDefault="006D1F5F" w:rsidP="006D1F5F">
            <w:pPr>
              <w:pStyle w:val="Prrafodelista"/>
              <w:numPr>
                <w:ilvl w:val="0"/>
                <w:numId w:val="5"/>
              </w:numPr>
              <w:ind w:left="317"/>
              <w:jc w:val="both"/>
              <w:rPr>
                <w:rFonts w:ascii="Century" w:hAnsi="Century" w:cs="Arial"/>
                <w:sz w:val="20"/>
                <w:szCs w:val="20"/>
              </w:rPr>
            </w:pPr>
            <w:r w:rsidRPr="005E04F1">
              <w:rPr>
                <w:rFonts w:ascii="Century" w:hAnsi="Century" w:cs="Arial"/>
                <w:sz w:val="20"/>
                <w:szCs w:val="20"/>
              </w:rPr>
              <w:t>Dar mayor difusión al Programa, a fin de ampliar su aplicación en la población (PET normal, PET Urbano y Polígonos).</w:t>
            </w:r>
          </w:p>
        </w:tc>
        <w:tc>
          <w:tcPr>
            <w:tcW w:w="7565" w:type="dxa"/>
          </w:tcPr>
          <w:p w:rsidR="006D1F5F" w:rsidRPr="00CA0AE6" w:rsidRDefault="006D1F5F" w:rsidP="006D1F5F">
            <w:pPr>
              <w:jc w:val="both"/>
              <w:rPr>
                <w:rFonts w:ascii="Century" w:hAnsi="Century" w:cs="Arial"/>
                <w:b/>
                <w:sz w:val="20"/>
                <w:szCs w:val="20"/>
              </w:rPr>
            </w:pPr>
            <w:r w:rsidRPr="00CA0AE6">
              <w:rPr>
                <w:rFonts w:ascii="Century" w:hAnsi="Century" w:cs="Arial"/>
                <w:b/>
                <w:sz w:val="20"/>
                <w:szCs w:val="20"/>
              </w:rPr>
              <w:t>Se suscribe la propuesta</w:t>
            </w:r>
          </w:p>
          <w:p w:rsidR="006D1F5F" w:rsidRPr="00CA0AE6" w:rsidRDefault="006D1F5F" w:rsidP="006D1F5F">
            <w:pPr>
              <w:jc w:val="both"/>
              <w:rPr>
                <w:rFonts w:ascii="Century" w:hAnsi="Century" w:cs="Arial"/>
                <w:sz w:val="20"/>
                <w:szCs w:val="20"/>
              </w:rPr>
            </w:pPr>
          </w:p>
          <w:p w:rsidR="00487900" w:rsidRPr="00CA0AE6" w:rsidRDefault="006D1F5F" w:rsidP="00487900">
            <w:pPr>
              <w:ind w:right="-93"/>
              <w:jc w:val="both"/>
              <w:rPr>
                <w:rFonts w:ascii="Century" w:hAnsi="Century" w:cs="Arial"/>
                <w:sz w:val="20"/>
                <w:szCs w:val="20"/>
              </w:rPr>
            </w:pPr>
            <w:r>
              <w:rPr>
                <w:rFonts w:ascii="Century" w:hAnsi="Century" w:cs="Arial"/>
                <w:sz w:val="20"/>
                <w:szCs w:val="20"/>
              </w:rPr>
              <w:t xml:space="preserve">En </w:t>
            </w:r>
            <w:r w:rsidRPr="00CA0AE6">
              <w:rPr>
                <w:rFonts w:ascii="Century" w:hAnsi="Century" w:cs="Arial"/>
                <w:sz w:val="20"/>
                <w:szCs w:val="20"/>
              </w:rPr>
              <w:t xml:space="preserve">el Instructivo de Promoción 2015, </w:t>
            </w:r>
            <w:r>
              <w:rPr>
                <w:rFonts w:ascii="Century" w:hAnsi="Century" w:cs="Arial"/>
                <w:sz w:val="20"/>
                <w:szCs w:val="20"/>
              </w:rPr>
              <w:t>se</w:t>
            </w:r>
            <w:r w:rsidRPr="00CA0AE6">
              <w:rPr>
                <w:rFonts w:ascii="Century" w:hAnsi="Century" w:cs="Arial"/>
                <w:sz w:val="20"/>
                <w:szCs w:val="20"/>
              </w:rPr>
              <w:t xml:space="preserve"> </w:t>
            </w:r>
            <w:r w:rsidR="00487900">
              <w:rPr>
                <w:rFonts w:ascii="Century" w:hAnsi="Century" w:cs="Arial"/>
                <w:sz w:val="20"/>
                <w:szCs w:val="20"/>
              </w:rPr>
              <w:t>definirán los</w:t>
            </w:r>
            <w:r w:rsidRPr="00CA0AE6">
              <w:rPr>
                <w:rFonts w:ascii="Century" w:hAnsi="Century" w:cs="Arial"/>
                <w:sz w:val="20"/>
                <w:szCs w:val="20"/>
              </w:rPr>
              <w:t xml:space="preserve"> </w:t>
            </w:r>
            <w:r>
              <w:rPr>
                <w:rFonts w:ascii="Century" w:hAnsi="Century" w:cs="Arial"/>
                <w:sz w:val="20"/>
                <w:szCs w:val="20"/>
              </w:rPr>
              <w:t>medios</w:t>
            </w:r>
            <w:r w:rsidRPr="00CA0AE6">
              <w:rPr>
                <w:rFonts w:ascii="Century" w:hAnsi="Century" w:cs="Arial"/>
                <w:sz w:val="20"/>
                <w:szCs w:val="20"/>
              </w:rPr>
              <w:t xml:space="preserve"> de </w:t>
            </w:r>
            <w:r w:rsidR="00487900">
              <w:rPr>
                <w:rFonts w:ascii="Century" w:hAnsi="Century" w:cs="Arial"/>
                <w:sz w:val="20"/>
                <w:szCs w:val="20"/>
              </w:rPr>
              <w:t xml:space="preserve">difusión </w:t>
            </w:r>
            <w:r w:rsidR="007C04DD">
              <w:rPr>
                <w:rFonts w:ascii="Century" w:hAnsi="Century" w:cs="Arial"/>
                <w:sz w:val="20"/>
                <w:szCs w:val="20"/>
              </w:rPr>
              <w:t xml:space="preserve">para fortalecer la promoción del programa </w:t>
            </w:r>
            <w:r w:rsidR="00487900">
              <w:rPr>
                <w:rFonts w:ascii="Century" w:hAnsi="Century" w:cs="Arial"/>
                <w:sz w:val="20"/>
                <w:szCs w:val="20"/>
              </w:rPr>
              <w:t>(</w:t>
            </w:r>
            <w:r w:rsidR="00487900" w:rsidRPr="00CA0AE6">
              <w:rPr>
                <w:rFonts w:ascii="Century" w:hAnsi="Century" w:cs="Arial"/>
                <w:sz w:val="20"/>
                <w:szCs w:val="20"/>
              </w:rPr>
              <w:t>folletos, carteles, auditivos, impresos, electrónicos, web, e</w:t>
            </w:r>
            <w:r w:rsidR="00487900">
              <w:rPr>
                <w:rFonts w:ascii="Century" w:hAnsi="Century" w:cs="Arial"/>
                <w:sz w:val="20"/>
                <w:szCs w:val="20"/>
              </w:rPr>
              <w:t>ntre otros)</w:t>
            </w:r>
            <w:r w:rsidR="007C04DD">
              <w:rPr>
                <w:rFonts w:ascii="Century" w:hAnsi="Century" w:cs="Arial"/>
                <w:sz w:val="20"/>
                <w:szCs w:val="20"/>
              </w:rPr>
              <w:t>, los cuales</w:t>
            </w:r>
            <w:r w:rsidR="00487900">
              <w:rPr>
                <w:rFonts w:ascii="Century" w:hAnsi="Century" w:cs="Arial"/>
                <w:sz w:val="20"/>
                <w:szCs w:val="20"/>
              </w:rPr>
              <w:t xml:space="preserve"> permitirán a los Promotores del PET, </w:t>
            </w:r>
            <w:r w:rsidR="00487900" w:rsidRPr="00CA0AE6">
              <w:rPr>
                <w:rFonts w:ascii="Century" w:hAnsi="Century" w:cs="Arial"/>
                <w:sz w:val="20"/>
                <w:szCs w:val="20"/>
              </w:rPr>
              <w:t>informa</w:t>
            </w:r>
            <w:r w:rsidR="007C04DD">
              <w:rPr>
                <w:rFonts w:ascii="Century" w:hAnsi="Century" w:cs="Arial"/>
                <w:sz w:val="20"/>
                <w:szCs w:val="20"/>
              </w:rPr>
              <w:t>r</w:t>
            </w:r>
            <w:r w:rsidR="00487900">
              <w:rPr>
                <w:rFonts w:ascii="Century" w:hAnsi="Century" w:cs="Arial"/>
                <w:sz w:val="20"/>
                <w:szCs w:val="20"/>
              </w:rPr>
              <w:t xml:space="preserve"> </w:t>
            </w:r>
            <w:r w:rsidR="00487900" w:rsidRPr="00CA0AE6">
              <w:rPr>
                <w:rFonts w:ascii="Century" w:hAnsi="Century" w:cs="Arial"/>
                <w:sz w:val="20"/>
                <w:szCs w:val="20"/>
              </w:rPr>
              <w:t xml:space="preserve">a la población objetivo de la forma en que pueden solicitar la ejecución de </w:t>
            </w:r>
            <w:r w:rsidR="007C04DD">
              <w:rPr>
                <w:rFonts w:ascii="Century" w:hAnsi="Century" w:cs="Arial"/>
                <w:sz w:val="20"/>
                <w:szCs w:val="20"/>
              </w:rPr>
              <w:t xml:space="preserve">los </w:t>
            </w:r>
            <w:r w:rsidR="00487900" w:rsidRPr="00CA0AE6">
              <w:rPr>
                <w:rFonts w:ascii="Century" w:hAnsi="Century" w:cs="Arial"/>
                <w:sz w:val="20"/>
                <w:szCs w:val="20"/>
              </w:rPr>
              <w:t>proyectos en su localidad</w:t>
            </w:r>
            <w:r w:rsidR="00487900">
              <w:rPr>
                <w:rFonts w:ascii="Century" w:hAnsi="Century" w:cs="Arial"/>
                <w:sz w:val="20"/>
                <w:szCs w:val="20"/>
              </w:rPr>
              <w:t>.</w:t>
            </w:r>
          </w:p>
          <w:p w:rsidR="00487900" w:rsidRDefault="00487900" w:rsidP="006D1F5F">
            <w:pPr>
              <w:ind w:right="-93"/>
              <w:jc w:val="both"/>
              <w:rPr>
                <w:rFonts w:ascii="Century" w:hAnsi="Century" w:cs="Arial"/>
                <w:sz w:val="20"/>
                <w:szCs w:val="20"/>
              </w:rPr>
            </w:pPr>
          </w:p>
          <w:p w:rsidR="006D1F5F" w:rsidRDefault="006D1F5F" w:rsidP="006D1F5F">
            <w:pPr>
              <w:jc w:val="both"/>
              <w:rPr>
                <w:rFonts w:ascii="Century" w:hAnsi="Century" w:cs="Arial"/>
                <w:sz w:val="20"/>
                <w:szCs w:val="20"/>
              </w:rPr>
            </w:pPr>
            <w:r w:rsidRPr="00CA0AE6">
              <w:rPr>
                <w:rFonts w:ascii="Century" w:hAnsi="Century" w:cs="Arial"/>
                <w:sz w:val="20"/>
                <w:szCs w:val="20"/>
              </w:rPr>
              <w:t>En el Instructivo de Promoción 2015, que se publicará dentro de los 45 días hábiles siguientes a la publicación de las R</w:t>
            </w:r>
            <w:r>
              <w:rPr>
                <w:rFonts w:ascii="Century" w:hAnsi="Century" w:cs="Arial"/>
                <w:sz w:val="20"/>
                <w:szCs w:val="20"/>
              </w:rPr>
              <w:t>eglas de Operación del PET 2015 en el portal web de la SCT.</w:t>
            </w:r>
          </w:p>
          <w:p w:rsidR="00487900" w:rsidRPr="006D1F5F" w:rsidRDefault="00487900" w:rsidP="006D1F5F">
            <w:pPr>
              <w:jc w:val="both"/>
              <w:rPr>
                <w:rFonts w:ascii="Century" w:hAnsi="Century" w:cs="Arial"/>
                <w:sz w:val="20"/>
                <w:szCs w:val="20"/>
              </w:rPr>
            </w:pPr>
          </w:p>
        </w:tc>
      </w:tr>
      <w:tr w:rsidR="00517845" w:rsidRPr="00CA0AE6" w:rsidTr="00844074">
        <w:trPr>
          <w:trHeight w:val="1834"/>
        </w:trPr>
        <w:tc>
          <w:tcPr>
            <w:tcW w:w="1980" w:type="dxa"/>
            <w:vMerge/>
          </w:tcPr>
          <w:p w:rsidR="00517845" w:rsidRPr="00CA0AE6" w:rsidRDefault="00517845" w:rsidP="00F5231E">
            <w:pPr>
              <w:jc w:val="center"/>
              <w:rPr>
                <w:rFonts w:ascii="Century" w:hAnsi="Century" w:cs="Arial"/>
                <w:b/>
                <w:sz w:val="20"/>
                <w:szCs w:val="20"/>
              </w:rPr>
            </w:pPr>
          </w:p>
        </w:tc>
        <w:tc>
          <w:tcPr>
            <w:tcW w:w="3451" w:type="dxa"/>
          </w:tcPr>
          <w:p w:rsidR="00517845" w:rsidRPr="005E04F1" w:rsidRDefault="00517845" w:rsidP="006D1F5F">
            <w:pPr>
              <w:pStyle w:val="Prrafodelista"/>
              <w:numPr>
                <w:ilvl w:val="0"/>
                <w:numId w:val="5"/>
              </w:numPr>
              <w:ind w:left="317"/>
              <w:jc w:val="both"/>
              <w:rPr>
                <w:rFonts w:ascii="Century" w:hAnsi="Century" w:cs="Arial"/>
                <w:sz w:val="20"/>
                <w:szCs w:val="20"/>
              </w:rPr>
            </w:pPr>
            <w:r w:rsidRPr="005E04F1">
              <w:rPr>
                <w:rFonts w:ascii="Century" w:hAnsi="Century" w:cs="Arial"/>
                <w:sz w:val="20"/>
                <w:szCs w:val="20"/>
              </w:rPr>
              <w:t>Dar continuidad y permanencia a</w:t>
            </w:r>
            <w:r>
              <w:rPr>
                <w:rFonts w:ascii="Century" w:hAnsi="Century" w:cs="Arial"/>
                <w:sz w:val="20"/>
                <w:szCs w:val="20"/>
              </w:rPr>
              <w:t>l</w:t>
            </w:r>
            <w:r w:rsidRPr="005E04F1">
              <w:rPr>
                <w:rFonts w:ascii="Century" w:hAnsi="Century" w:cs="Arial"/>
                <w:sz w:val="20"/>
                <w:szCs w:val="20"/>
              </w:rPr>
              <w:t xml:space="preserve"> programa social, ya que beneficia a uno de los sectores más vulnerables</w:t>
            </w:r>
            <w:r>
              <w:rPr>
                <w:rFonts w:ascii="Century" w:hAnsi="Century" w:cs="Arial"/>
                <w:sz w:val="20"/>
                <w:szCs w:val="20"/>
              </w:rPr>
              <w:t xml:space="preserve"> de la población.</w:t>
            </w:r>
          </w:p>
        </w:tc>
        <w:tc>
          <w:tcPr>
            <w:tcW w:w="7565" w:type="dxa"/>
          </w:tcPr>
          <w:p w:rsidR="00517845" w:rsidRPr="00CA0AE6" w:rsidRDefault="00517845" w:rsidP="00517845">
            <w:pPr>
              <w:jc w:val="both"/>
              <w:rPr>
                <w:rFonts w:ascii="Century" w:hAnsi="Century" w:cs="Arial"/>
                <w:b/>
                <w:sz w:val="20"/>
                <w:szCs w:val="20"/>
              </w:rPr>
            </w:pPr>
            <w:r w:rsidRPr="00CA0AE6">
              <w:rPr>
                <w:rFonts w:ascii="Century" w:hAnsi="Century" w:cs="Arial"/>
                <w:b/>
                <w:sz w:val="20"/>
                <w:szCs w:val="20"/>
              </w:rPr>
              <w:t>Se suscribe la propuesta</w:t>
            </w:r>
          </w:p>
          <w:p w:rsidR="00517845" w:rsidRDefault="00517845" w:rsidP="00517845">
            <w:pPr>
              <w:jc w:val="both"/>
              <w:rPr>
                <w:rFonts w:ascii="Century" w:hAnsi="Century" w:cs="Arial"/>
                <w:sz w:val="20"/>
                <w:szCs w:val="20"/>
              </w:rPr>
            </w:pPr>
          </w:p>
          <w:p w:rsidR="00517845" w:rsidRDefault="00517845" w:rsidP="00517845">
            <w:pPr>
              <w:jc w:val="both"/>
              <w:rPr>
                <w:rFonts w:ascii="Century" w:hAnsi="Century" w:cs="Arial"/>
                <w:sz w:val="20"/>
                <w:szCs w:val="20"/>
              </w:rPr>
            </w:pPr>
            <w:r>
              <w:rPr>
                <w:rFonts w:ascii="Century" w:hAnsi="Century" w:cs="Arial"/>
                <w:sz w:val="20"/>
                <w:szCs w:val="20"/>
              </w:rPr>
              <w:t xml:space="preserve">En el </w:t>
            </w:r>
            <w:r w:rsidR="00DE6A6E">
              <w:rPr>
                <w:rFonts w:ascii="Century" w:hAnsi="Century" w:cs="Arial"/>
                <w:sz w:val="20"/>
                <w:szCs w:val="20"/>
              </w:rPr>
              <w:t xml:space="preserve">Proyecto de </w:t>
            </w:r>
            <w:r>
              <w:rPr>
                <w:rFonts w:ascii="Century" w:hAnsi="Century" w:cs="Arial"/>
                <w:sz w:val="20"/>
                <w:szCs w:val="20"/>
              </w:rPr>
              <w:t>Presupuesto de Egresos de la Federación 2015</w:t>
            </w:r>
            <w:r w:rsidR="00D50596">
              <w:rPr>
                <w:rFonts w:ascii="Century" w:hAnsi="Century" w:cs="Arial"/>
                <w:sz w:val="20"/>
                <w:szCs w:val="20"/>
              </w:rPr>
              <w:t xml:space="preserve"> (PEF 2015)</w:t>
            </w:r>
            <w:r>
              <w:rPr>
                <w:rFonts w:ascii="Century" w:hAnsi="Century" w:cs="Arial"/>
                <w:sz w:val="20"/>
                <w:szCs w:val="20"/>
              </w:rPr>
              <w:t xml:space="preserve">, se </w:t>
            </w:r>
            <w:r w:rsidR="00DE6A6E">
              <w:rPr>
                <w:rFonts w:ascii="Century" w:hAnsi="Century" w:cs="Arial"/>
                <w:sz w:val="20"/>
                <w:szCs w:val="20"/>
              </w:rPr>
              <w:t>presupuestaron</w:t>
            </w:r>
            <w:r>
              <w:rPr>
                <w:rFonts w:ascii="Century" w:hAnsi="Century" w:cs="Arial"/>
                <w:sz w:val="20"/>
                <w:szCs w:val="20"/>
              </w:rPr>
              <w:t xml:space="preserve"> recursos</w:t>
            </w:r>
            <w:r w:rsidR="00DE6A6E">
              <w:rPr>
                <w:rFonts w:ascii="Century" w:hAnsi="Century" w:cs="Arial"/>
                <w:sz w:val="20"/>
                <w:szCs w:val="20"/>
              </w:rPr>
              <w:t xml:space="preserve"> para la continuidad del Programa</w:t>
            </w:r>
            <w:r w:rsidR="00D50596">
              <w:rPr>
                <w:rFonts w:ascii="Century" w:hAnsi="Century" w:cs="Arial"/>
                <w:sz w:val="20"/>
                <w:szCs w:val="20"/>
              </w:rPr>
              <w:t>.</w:t>
            </w:r>
          </w:p>
          <w:p w:rsidR="00D50596" w:rsidRDefault="00D50596" w:rsidP="00517845">
            <w:pPr>
              <w:jc w:val="both"/>
              <w:rPr>
                <w:rFonts w:ascii="Century" w:hAnsi="Century" w:cs="Arial"/>
                <w:sz w:val="20"/>
                <w:szCs w:val="20"/>
              </w:rPr>
            </w:pPr>
          </w:p>
          <w:p w:rsidR="00D50596" w:rsidRDefault="00D50596" w:rsidP="00517845">
            <w:pPr>
              <w:jc w:val="both"/>
              <w:rPr>
                <w:rFonts w:ascii="Century" w:hAnsi="Century" w:cs="Arial"/>
                <w:sz w:val="20"/>
                <w:szCs w:val="20"/>
              </w:rPr>
            </w:pPr>
            <w:r>
              <w:rPr>
                <w:rFonts w:ascii="Century" w:hAnsi="Century" w:cs="Arial"/>
                <w:sz w:val="20"/>
                <w:szCs w:val="20"/>
              </w:rPr>
              <w:t xml:space="preserve">El PEF 2015 se publicará en la página electrónica </w:t>
            </w:r>
            <w:hyperlink r:id="rId9" w:history="1">
              <w:r w:rsidRPr="00F041D8">
                <w:rPr>
                  <w:rStyle w:val="Hipervnculo"/>
                  <w:rFonts w:ascii="Century" w:hAnsi="Century" w:cs="Arial"/>
                  <w:sz w:val="20"/>
                  <w:szCs w:val="20"/>
                </w:rPr>
                <w:t>www.dof.gob.mx</w:t>
              </w:r>
            </w:hyperlink>
          </w:p>
          <w:p w:rsidR="00517845" w:rsidRPr="00CA0AE6" w:rsidRDefault="00517845" w:rsidP="00D50596">
            <w:pPr>
              <w:jc w:val="both"/>
              <w:rPr>
                <w:rFonts w:ascii="Century" w:hAnsi="Century" w:cs="Arial"/>
                <w:b/>
                <w:sz w:val="20"/>
                <w:szCs w:val="20"/>
              </w:rPr>
            </w:pPr>
          </w:p>
        </w:tc>
      </w:tr>
      <w:tr w:rsidR="00D50596" w:rsidRPr="00CA0AE6" w:rsidTr="00440C92">
        <w:trPr>
          <w:trHeight w:val="2617"/>
        </w:trPr>
        <w:tc>
          <w:tcPr>
            <w:tcW w:w="1980" w:type="dxa"/>
            <w:vMerge/>
          </w:tcPr>
          <w:p w:rsidR="00D50596" w:rsidRPr="00CA0AE6" w:rsidRDefault="00D50596" w:rsidP="00F5231E">
            <w:pPr>
              <w:jc w:val="center"/>
              <w:rPr>
                <w:rFonts w:ascii="Century" w:hAnsi="Century" w:cs="Arial"/>
                <w:b/>
                <w:sz w:val="20"/>
                <w:szCs w:val="20"/>
              </w:rPr>
            </w:pPr>
          </w:p>
        </w:tc>
        <w:tc>
          <w:tcPr>
            <w:tcW w:w="3451" w:type="dxa"/>
          </w:tcPr>
          <w:p w:rsidR="00D50596" w:rsidRPr="005E04F1" w:rsidRDefault="00D50596" w:rsidP="006D1F5F">
            <w:pPr>
              <w:pStyle w:val="Prrafodelista"/>
              <w:numPr>
                <w:ilvl w:val="0"/>
                <w:numId w:val="5"/>
              </w:numPr>
              <w:ind w:left="317"/>
              <w:jc w:val="both"/>
              <w:rPr>
                <w:rFonts w:ascii="Century" w:hAnsi="Century" w:cs="Arial"/>
                <w:sz w:val="20"/>
                <w:szCs w:val="20"/>
              </w:rPr>
            </w:pPr>
            <w:r w:rsidRPr="005E04F1">
              <w:rPr>
                <w:rFonts w:ascii="Century" w:hAnsi="Century" w:cs="Arial"/>
                <w:sz w:val="20"/>
                <w:szCs w:val="20"/>
              </w:rPr>
              <w:t>Establecer mecanismos de control</w:t>
            </w:r>
            <w:r>
              <w:rPr>
                <w:rFonts w:ascii="Century" w:hAnsi="Century" w:cs="Arial"/>
                <w:sz w:val="20"/>
                <w:szCs w:val="20"/>
              </w:rPr>
              <w:t>,</w:t>
            </w:r>
            <w:r w:rsidRPr="005E04F1">
              <w:rPr>
                <w:rFonts w:ascii="Century" w:hAnsi="Century" w:cs="Arial"/>
                <w:sz w:val="20"/>
                <w:szCs w:val="20"/>
              </w:rPr>
              <w:t xml:space="preserve"> a fin de que los recursos económicos lleguen de manera directa y oportuna a la población objetivo.</w:t>
            </w:r>
          </w:p>
        </w:tc>
        <w:tc>
          <w:tcPr>
            <w:tcW w:w="7565" w:type="dxa"/>
          </w:tcPr>
          <w:p w:rsidR="00D50596" w:rsidRPr="00CA0AE6" w:rsidRDefault="00D50596" w:rsidP="00D50596">
            <w:pPr>
              <w:jc w:val="both"/>
              <w:rPr>
                <w:rFonts w:ascii="Century" w:hAnsi="Century" w:cs="Arial"/>
                <w:b/>
                <w:sz w:val="20"/>
                <w:szCs w:val="20"/>
              </w:rPr>
            </w:pPr>
            <w:r w:rsidRPr="00CA0AE6">
              <w:rPr>
                <w:rFonts w:ascii="Century" w:hAnsi="Century" w:cs="Arial"/>
                <w:b/>
                <w:sz w:val="20"/>
                <w:szCs w:val="20"/>
              </w:rPr>
              <w:t>Se suscribe la propuesta</w:t>
            </w:r>
          </w:p>
          <w:p w:rsidR="00D50596" w:rsidRPr="00CA0AE6" w:rsidRDefault="00D50596" w:rsidP="00D50596">
            <w:pPr>
              <w:jc w:val="both"/>
              <w:rPr>
                <w:rFonts w:ascii="Century" w:hAnsi="Century" w:cs="Arial"/>
                <w:sz w:val="20"/>
                <w:szCs w:val="20"/>
              </w:rPr>
            </w:pPr>
          </w:p>
          <w:p w:rsidR="001A0CA1" w:rsidRDefault="00440C92" w:rsidP="00440C92">
            <w:pPr>
              <w:jc w:val="both"/>
              <w:rPr>
                <w:rFonts w:ascii="Century" w:hAnsi="Century" w:cs="Arial"/>
                <w:sz w:val="20"/>
                <w:szCs w:val="20"/>
              </w:rPr>
            </w:pPr>
            <w:r>
              <w:rPr>
                <w:rFonts w:ascii="Century" w:hAnsi="Century" w:cs="Arial"/>
                <w:sz w:val="20"/>
                <w:szCs w:val="20"/>
              </w:rPr>
              <w:t>Durante el primer semestre de 2015, s</w:t>
            </w:r>
            <w:r w:rsidR="00D50596" w:rsidRPr="00CA0AE6">
              <w:rPr>
                <w:rFonts w:ascii="Century" w:hAnsi="Century" w:cs="Arial"/>
                <w:sz w:val="20"/>
                <w:szCs w:val="20"/>
              </w:rPr>
              <w:t xml:space="preserve">e </w:t>
            </w:r>
            <w:r w:rsidR="001A0CA1">
              <w:rPr>
                <w:rFonts w:ascii="Century" w:hAnsi="Century" w:cs="Arial"/>
                <w:sz w:val="20"/>
                <w:szCs w:val="20"/>
              </w:rPr>
              <w:t xml:space="preserve">establecerá coordinación con la </w:t>
            </w:r>
            <w:r w:rsidR="001A0CA1" w:rsidRPr="001A0CA1">
              <w:rPr>
                <w:rFonts w:ascii="Century" w:hAnsi="Century" w:cs="Arial"/>
                <w:sz w:val="20"/>
                <w:szCs w:val="20"/>
              </w:rPr>
              <w:t>Dirección General de Operación Regional y Contraloría Social de la Secretaría de la</w:t>
            </w:r>
            <w:r w:rsidR="001A0CA1">
              <w:rPr>
                <w:rFonts w:ascii="Century" w:hAnsi="Century" w:cs="Arial"/>
                <w:sz w:val="20"/>
                <w:szCs w:val="20"/>
              </w:rPr>
              <w:t xml:space="preserve"> </w:t>
            </w:r>
            <w:r w:rsidR="001A0CA1" w:rsidRPr="001A0CA1">
              <w:rPr>
                <w:rFonts w:ascii="Century" w:hAnsi="Century" w:cs="Arial"/>
                <w:sz w:val="20"/>
                <w:szCs w:val="20"/>
              </w:rPr>
              <w:t>Función Pública</w:t>
            </w:r>
            <w:r w:rsidR="001A0CA1">
              <w:rPr>
                <w:rFonts w:ascii="Century" w:hAnsi="Century" w:cs="Arial"/>
                <w:sz w:val="20"/>
                <w:szCs w:val="20"/>
              </w:rPr>
              <w:t>, con el objeto de elaborar la Guía Operativa y el Programa</w:t>
            </w:r>
            <w:r w:rsidR="001A0CA1">
              <w:t xml:space="preserve"> </w:t>
            </w:r>
            <w:r w:rsidR="001A0CA1" w:rsidRPr="001A0CA1">
              <w:rPr>
                <w:rFonts w:ascii="Century" w:hAnsi="Century" w:cs="Arial"/>
                <w:sz w:val="20"/>
                <w:szCs w:val="20"/>
              </w:rPr>
              <w:t>Anual de Trabajo de Contraloría Social, en</w:t>
            </w:r>
            <w:r w:rsidR="001A0CA1">
              <w:rPr>
                <w:rFonts w:ascii="Century" w:hAnsi="Century" w:cs="Arial"/>
                <w:sz w:val="20"/>
                <w:szCs w:val="20"/>
              </w:rPr>
              <w:t xml:space="preserve"> </w:t>
            </w:r>
            <w:r w:rsidR="001A0CA1" w:rsidRPr="001A0CA1">
              <w:rPr>
                <w:rFonts w:ascii="Century" w:hAnsi="Century" w:cs="Arial"/>
                <w:sz w:val="20"/>
                <w:szCs w:val="20"/>
              </w:rPr>
              <w:t>el que se estable</w:t>
            </w:r>
            <w:r>
              <w:rPr>
                <w:rFonts w:ascii="Century" w:hAnsi="Century" w:cs="Arial"/>
                <w:sz w:val="20"/>
                <w:szCs w:val="20"/>
              </w:rPr>
              <w:t>zcan</w:t>
            </w:r>
            <w:r w:rsidR="001A0CA1" w:rsidRPr="001A0CA1">
              <w:rPr>
                <w:rFonts w:ascii="Century" w:hAnsi="Century" w:cs="Arial"/>
                <w:sz w:val="20"/>
                <w:szCs w:val="20"/>
              </w:rPr>
              <w:t xml:space="preserve"> las actividades, los responsables, las metas y el calendario de ejecución para</w:t>
            </w:r>
            <w:r w:rsidR="001A0CA1">
              <w:rPr>
                <w:rFonts w:ascii="Century" w:hAnsi="Century" w:cs="Arial"/>
                <w:sz w:val="20"/>
                <w:szCs w:val="20"/>
              </w:rPr>
              <w:t xml:space="preserve"> </w:t>
            </w:r>
            <w:r w:rsidR="001A0CA1" w:rsidRPr="001A0CA1">
              <w:rPr>
                <w:rFonts w:ascii="Century" w:hAnsi="Century" w:cs="Arial"/>
                <w:sz w:val="20"/>
                <w:szCs w:val="20"/>
              </w:rPr>
              <w:t>promover la contralorí</w:t>
            </w:r>
            <w:r>
              <w:rPr>
                <w:rFonts w:ascii="Century" w:hAnsi="Century" w:cs="Arial"/>
                <w:sz w:val="20"/>
                <w:szCs w:val="20"/>
              </w:rPr>
              <w:t xml:space="preserve">a social </w:t>
            </w:r>
            <w:r w:rsidRPr="00440C92">
              <w:rPr>
                <w:rFonts w:ascii="Century" w:hAnsi="Century" w:cs="Arial"/>
                <w:sz w:val="20"/>
                <w:szCs w:val="20"/>
              </w:rPr>
              <w:t xml:space="preserve">como el mecanismo de los beneficiarios, </w:t>
            </w:r>
            <w:r>
              <w:rPr>
                <w:rFonts w:ascii="Century" w:hAnsi="Century" w:cs="Arial"/>
                <w:sz w:val="20"/>
                <w:szCs w:val="20"/>
              </w:rPr>
              <w:t>que</w:t>
            </w:r>
            <w:r w:rsidRPr="00440C92">
              <w:rPr>
                <w:rFonts w:ascii="Century" w:hAnsi="Century" w:cs="Arial"/>
                <w:sz w:val="20"/>
                <w:szCs w:val="20"/>
              </w:rPr>
              <w:t xml:space="preserve"> verifi</w:t>
            </w:r>
            <w:r>
              <w:rPr>
                <w:rFonts w:ascii="Century" w:hAnsi="Century" w:cs="Arial"/>
                <w:sz w:val="20"/>
                <w:szCs w:val="20"/>
              </w:rPr>
              <w:t>quen</w:t>
            </w:r>
            <w:r w:rsidRPr="00440C92">
              <w:rPr>
                <w:rFonts w:ascii="Century" w:hAnsi="Century" w:cs="Arial"/>
                <w:sz w:val="20"/>
                <w:szCs w:val="20"/>
              </w:rPr>
              <w:t xml:space="preserve"> el cumplimiento de las metas y la correcta aplicación de los recursos públicos</w:t>
            </w:r>
            <w:r>
              <w:rPr>
                <w:rFonts w:ascii="Century" w:hAnsi="Century" w:cs="Arial"/>
                <w:sz w:val="20"/>
                <w:szCs w:val="20"/>
              </w:rPr>
              <w:t xml:space="preserve"> </w:t>
            </w:r>
            <w:r w:rsidRPr="00440C92">
              <w:rPr>
                <w:rFonts w:ascii="Century" w:hAnsi="Century" w:cs="Arial"/>
                <w:sz w:val="20"/>
                <w:szCs w:val="20"/>
              </w:rPr>
              <w:t>asignados a</w:t>
            </w:r>
            <w:r>
              <w:rPr>
                <w:rFonts w:ascii="Century" w:hAnsi="Century" w:cs="Arial"/>
                <w:sz w:val="20"/>
                <w:szCs w:val="20"/>
              </w:rPr>
              <w:t>l Programa de Empleo Temporal.</w:t>
            </w:r>
            <w:r w:rsidRPr="001A0CA1">
              <w:rPr>
                <w:rFonts w:ascii="Century" w:hAnsi="Century" w:cs="Arial"/>
                <w:sz w:val="20"/>
                <w:szCs w:val="20"/>
              </w:rPr>
              <w:t xml:space="preserve"> </w:t>
            </w:r>
          </w:p>
          <w:p w:rsidR="00440C92" w:rsidRDefault="00440C92" w:rsidP="00440C92">
            <w:pPr>
              <w:jc w:val="both"/>
              <w:rPr>
                <w:rFonts w:ascii="Century" w:hAnsi="Century" w:cs="Arial"/>
                <w:sz w:val="20"/>
                <w:szCs w:val="20"/>
              </w:rPr>
            </w:pPr>
          </w:p>
          <w:p w:rsidR="00440C92" w:rsidRDefault="00440C92" w:rsidP="00440C92">
            <w:pPr>
              <w:jc w:val="both"/>
              <w:rPr>
                <w:rFonts w:ascii="Century" w:hAnsi="Century" w:cs="Arial"/>
                <w:sz w:val="20"/>
                <w:szCs w:val="20"/>
              </w:rPr>
            </w:pPr>
            <w:r>
              <w:rPr>
                <w:rFonts w:ascii="Century" w:hAnsi="Century" w:cs="Arial"/>
                <w:sz w:val="20"/>
                <w:szCs w:val="20"/>
              </w:rPr>
              <w:t xml:space="preserve">Los documentos antes mencionados se publicaran en la página electrónica </w:t>
            </w:r>
            <w:hyperlink r:id="rId10" w:history="1">
              <w:r w:rsidRPr="00F041D8">
                <w:rPr>
                  <w:rStyle w:val="Hipervnculo"/>
                  <w:rFonts w:ascii="Century" w:hAnsi="Century" w:cs="Arial"/>
                  <w:sz w:val="20"/>
                  <w:szCs w:val="20"/>
                </w:rPr>
                <w:t>www.sct.gob.mx</w:t>
              </w:r>
            </w:hyperlink>
          </w:p>
          <w:p w:rsidR="00440C92" w:rsidRDefault="00440C92" w:rsidP="00440C92">
            <w:pPr>
              <w:jc w:val="both"/>
              <w:rPr>
                <w:rFonts w:ascii="Century" w:hAnsi="Century" w:cs="Arial"/>
                <w:sz w:val="20"/>
                <w:szCs w:val="20"/>
              </w:rPr>
            </w:pPr>
          </w:p>
          <w:p w:rsidR="00844074" w:rsidRPr="001A0CA1" w:rsidRDefault="00844074" w:rsidP="00440C92">
            <w:pPr>
              <w:jc w:val="both"/>
              <w:rPr>
                <w:rFonts w:ascii="Century" w:hAnsi="Century" w:cs="Arial"/>
                <w:sz w:val="20"/>
                <w:szCs w:val="20"/>
              </w:rPr>
            </w:pPr>
          </w:p>
        </w:tc>
      </w:tr>
      <w:tr w:rsidR="00440C92" w:rsidRPr="00CA0AE6" w:rsidTr="00844074">
        <w:trPr>
          <w:trHeight w:val="2939"/>
        </w:trPr>
        <w:tc>
          <w:tcPr>
            <w:tcW w:w="1980" w:type="dxa"/>
            <w:vMerge/>
          </w:tcPr>
          <w:p w:rsidR="00440C92" w:rsidRPr="00CA0AE6" w:rsidRDefault="00440C92" w:rsidP="00440C92">
            <w:pPr>
              <w:jc w:val="center"/>
              <w:rPr>
                <w:rFonts w:ascii="Century" w:hAnsi="Century" w:cs="Arial"/>
                <w:b/>
                <w:sz w:val="20"/>
                <w:szCs w:val="20"/>
              </w:rPr>
            </w:pPr>
          </w:p>
        </w:tc>
        <w:tc>
          <w:tcPr>
            <w:tcW w:w="3451" w:type="dxa"/>
          </w:tcPr>
          <w:p w:rsidR="00F05D91" w:rsidRDefault="00440C92" w:rsidP="00440C92">
            <w:pPr>
              <w:pStyle w:val="Prrafodelista"/>
              <w:numPr>
                <w:ilvl w:val="0"/>
                <w:numId w:val="4"/>
              </w:numPr>
              <w:ind w:left="323"/>
              <w:jc w:val="both"/>
              <w:rPr>
                <w:rFonts w:ascii="Century" w:hAnsi="Century" w:cs="Arial"/>
                <w:sz w:val="20"/>
                <w:szCs w:val="20"/>
              </w:rPr>
            </w:pPr>
            <w:r w:rsidRPr="00CA0AE6">
              <w:rPr>
                <w:rFonts w:ascii="Century" w:hAnsi="Century" w:cs="Arial"/>
                <w:sz w:val="20"/>
                <w:szCs w:val="20"/>
              </w:rPr>
              <w:t>Realizar convenios de colaboración con funcionarios del OADPRS (Órgano Administrativo Desconcentrado Prevención y Readaptación Social)</w:t>
            </w:r>
            <w:r>
              <w:rPr>
                <w:rFonts w:ascii="Century" w:hAnsi="Century" w:cs="Arial"/>
                <w:sz w:val="20"/>
                <w:szCs w:val="20"/>
              </w:rPr>
              <w:t>,</w:t>
            </w:r>
            <w:r w:rsidRPr="00CA0AE6">
              <w:rPr>
                <w:rFonts w:ascii="Century" w:hAnsi="Century" w:cs="Arial"/>
                <w:sz w:val="20"/>
                <w:szCs w:val="20"/>
              </w:rPr>
              <w:t xml:space="preserve"> a fin de beneficiar a internos</w:t>
            </w:r>
            <w:r w:rsidR="00F05D91">
              <w:rPr>
                <w:rFonts w:ascii="Century" w:hAnsi="Century" w:cs="Arial"/>
                <w:sz w:val="20"/>
                <w:szCs w:val="20"/>
              </w:rPr>
              <w:t>, preliberados o liberados en</w:t>
            </w:r>
            <w:r w:rsidRPr="00CA0AE6">
              <w:rPr>
                <w:rFonts w:ascii="Century" w:hAnsi="Century" w:cs="Arial"/>
                <w:sz w:val="20"/>
                <w:szCs w:val="20"/>
              </w:rPr>
              <w:t xml:space="preserve"> </w:t>
            </w:r>
            <w:r w:rsidR="00F05D91">
              <w:rPr>
                <w:rFonts w:ascii="Century" w:hAnsi="Century" w:cs="Arial"/>
                <w:sz w:val="20"/>
                <w:szCs w:val="20"/>
              </w:rPr>
              <w:t xml:space="preserve">el marco del </w:t>
            </w:r>
            <w:r w:rsidR="00F05D91" w:rsidRPr="00CA0AE6">
              <w:rPr>
                <w:rFonts w:ascii="Century" w:hAnsi="Century" w:cs="Arial"/>
                <w:sz w:val="20"/>
                <w:szCs w:val="20"/>
              </w:rPr>
              <w:t>Programa para la Prevención Social de la Violencia y la Delincuencia</w:t>
            </w:r>
            <w:r w:rsidR="00F05D91">
              <w:rPr>
                <w:rFonts w:ascii="Century" w:hAnsi="Century" w:cs="Arial"/>
                <w:sz w:val="20"/>
                <w:szCs w:val="20"/>
              </w:rPr>
              <w:t xml:space="preserve"> (</w:t>
            </w:r>
            <w:r w:rsidR="00F05D91" w:rsidRPr="00CA0AE6">
              <w:rPr>
                <w:rFonts w:ascii="Century" w:hAnsi="Century" w:cs="Arial"/>
                <w:sz w:val="20"/>
                <w:szCs w:val="20"/>
              </w:rPr>
              <w:t>PPSVD</w:t>
            </w:r>
            <w:r w:rsidR="00F05D91">
              <w:rPr>
                <w:rFonts w:ascii="Century" w:hAnsi="Century" w:cs="Arial"/>
                <w:sz w:val="20"/>
                <w:szCs w:val="20"/>
              </w:rPr>
              <w:t>).</w:t>
            </w:r>
          </w:p>
          <w:p w:rsidR="00440C92" w:rsidRPr="00F05D91" w:rsidRDefault="00440C92" w:rsidP="00F05D91">
            <w:pPr>
              <w:pStyle w:val="Prrafodelista"/>
              <w:ind w:left="323"/>
              <w:jc w:val="both"/>
              <w:rPr>
                <w:rFonts w:ascii="Century" w:hAnsi="Century" w:cs="Arial"/>
                <w:sz w:val="20"/>
                <w:szCs w:val="20"/>
              </w:rPr>
            </w:pPr>
          </w:p>
        </w:tc>
        <w:tc>
          <w:tcPr>
            <w:tcW w:w="7565" w:type="dxa"/>
          </w:tcPr>
          <w:p w:rsidR="0096525B" w:rsidRPr="00CA0AE6" w:rsidRDefault="0096525B" w:rsidP="0096525B">
            <w:pPr>
              <w:jc w:val="both"/>
              <w:rPr>
                <w:rFonts w:ascii="Century" w:hAnsi="Century" w:cs="Arial"/>
                <w:b/>
                <w:sz w:val="20"/>
                <w:szCs w:val="20"/>
              </w:rPr>
            </w:pPr>
            <w:r w:rsidRPr="00CA0AE6">
              <w:rPr>
                <w:rFonts w:ascii="Century" w:hAnsi="Century" w:cs="Arial"/>
                <w:b/>
                <w:sz w:val="20"/>
                <w:szCs w:val="20"/>
              </w:rPr>
              <w:t>Se suscribe la propuesta</w:t>
            </w:r>
          </w:p>
          <w:p w:rsidR="00440C92" w:rsidRDefault="00440C92" w:rsidP="00440C92">
            <w:pPr>
              <w:jc w:val="both"/>
              <w:rPr>
                <w:rFonts w:ascii="Century" w:hAnsi="Century" w:cs="Arial"/>
                <w:sz w:val="20"/>
                <w:szCs w:val="20"/>
              </w:rPr>
            </w:pPr>
          </w:p>
          <w:p w:rsidR="00440C92" w:rsidRDefault="00B96594" w:rsidP="0096525B">
            <w:pPr>
              <w:jc w:val="both"/>
              <w:rPr>
                <w:rFonts w:ascii="Century" w:hAnsi="Century" w:cs="Arial"/>
                <w:sz w:val="20"/>
                <w:szCs w:val="20"/>
              </w:rPr>
            </w:pPr>
            <w:r>
              <w:rPr>
                <w:rFonts w:ascii="Century" w:hAnsi="Century" w:cs="Arial"/>
                <w:sz w:val="20"/>
                <w:szCs w:val="20"/>
              </w:rPr>
              <w:t xml:space="preserve">Durante el ejercicio 2014, el PET a través de la SCT incursionó </w:t>
            </w:r>
            <w:r w:rsidR="003B6C2D">
              <w:rPr>
                <w:rFonts w:ascii="Century" w:hAnsi="Century" w:cs="Arial"/>
                <w:sz w:val="20"/>
                <w:szCs w:val="20"/>
              </w:rPr>
              <w:t xml:space="preserve">en </w:t>
            </w:r>
            <w:r w:rsidR="00D47244">
              <w:rPr>
                <w:rFonts w:ascii="Century" w:hAnsi="Century" w:cs="Arial"/>
                <w:sz w:val="20"/>
                <w:szCs w:val="20"/>
              </w:rPr>
              <w:t>un</w:t>
            </w:r>
            <w:r w:rsidR="003B6C2D">
              <w:rPr>
                <w:rFonts w:ascii="Century" w:hAnsi="Century" w:cs="Arial"/>
                <w:sz w:val="20"/>
                <w:szCs w:val="20"/>
              </w:rPr>
              <w:t xml:space="preserve"> Centro de Readaptación </w:t>
            </w:r>
            <w:r w:rsidR="00D47244">
              <w:rPr>
                <w:rFonts w:ascii="Century" w:hAnsi="Century" w:cs="Arial"/>
                <w:sz w:val="20"/>
                <w:szCs w:val="20"/>
              </w:rPr>
              <w:t>Social en el Estado de Sonora sin suscripción de algún convenio</w:t>
            </w:r>
            <w:r w:rsidR="0096525B">
              <w:rPr>
                <w:rFonts w:ascii="Century" w:hAnsi="Century" w:cs="Arial"/>
                <w:sz w:val="20"/>
                <w:szCs w:val="20"/>
              </w:rPr>
              <w:t>; sin embargo, a efecto de formalizar la participación del Programa, las</w:t>
            </w:r>
            <w:r w:rsidR="00F05D91" w:rsidRPr="00B96594">
              <w:rPr>
                <w:rFonts w:ascii="Century" w:hAnsi="Century" w:cs="Arial"/>
                <w:sz w:val="20"/>
                <w:szCs w:val="20"/>
              </w:rPr>
              <w:t xml:space="preserve"> unidades ejecutoras (Centros SCT) podrán suscribir convenios de colaboración con </w:t>
            </w:r>
            <w:r w:rsidR="00F87246" w:rsidRPr="00B96594">
              <w:rPr>
                <w:rFonts w:ascii="Century" w:hAnsi="Century" w:cs="Arial"/>
                <w:sz w:val="20"/>
                <w:szCs w:val="20"/>
              </w:rPr>
              <w:t>la instancia correspondiente de la Secretaría de Gobernación</w:t>
            </w:r>
            <w:r w:rsidR="0096525B">
              <w:rPr>
                <w:rFonts w:ascii="Century" w:hAnsi="Century" w:cs="Arial"/>
                <w:sz w:val="20"/>
                <w:szCs w:val="20"/>
              </w:rPr>
              <w:t xml:space="preserve"> </w:t>
            </w:r>
            <w:r w:rsidR="0096525B" w:rsidRPr="00B96594">
              <w:rPr>
                <w:rFonts w:ascii="Century" w:hAnsi="Century" w:cs="Arial"/>
                <w:sz w:val="20"/>
                <w:szCs w:val="20"/>
              </w:rPr>
              <w:t>en el marco del Programa de Empleo Temporal</w:t>
            </w:r>
            <w:r w:rsidR="0096525B">
              <w:rPr>
                <w:rFonts w:ascii="Century" w:hAnsi="Century" w:cs="Arial"/>
                <w:sz w:val="20"/>
                <w:szCs w:val="20"/>
              </w:rPr>
              <w:t xml:space="preserve"> (PET)</w:t>
            </w:r>
            <w:r w:rsidR="0096525B" w:rsidRPr="00B96594">
              <w:rPr>
                <w:rFonts w:ascii="Century" w:hAnsi="Century" w:cs="Arial"/>
                <w:sz w:val="20"/>
                <w:szCs w:val="20"/>
              </w:rPr>
              <w:t xml:space="preserve"> y el Programa para la Prevención Social de la Violencia y la Delincuencia (PPSVD).</w:t>
            </w:r>
          </w:p>
          <w:p w:rsidR="0096525B" w:rsidRDefault="0096525B" w:rsidP="00440C92">
            <w:pPr>
              <w:ind w:right="-93"/>
              <w:jc w:val="both"/>
              <w:rPr>
                <w:rFonts w:ascii="Century" w:hAnsi="Century" w:cs="Arial"/>
                <w:sz w:val="20"/>
                <w:szCs w:val="20"/>
              </w:rPr>
            </w:pPr>
          </w:p>
          <w:p w:rsidR="00F87246" w:rsidRDefault="00B96594" w:rsidP="00440C92">
            <w:pPr>
              <w:ind w:right="-93"/>
              <w:jc w:val="both"/>
              <w:rPr>
                <w:rFonts w:ascii="Century" w:hAnsi="Century" w:cs="Arial"/>
                <w:sz w:val="20"/>
                <w:szCs w:val="20"/>
              </w:rPr>
            </w:pPr>
            <w:r>
              <w:rPr>
                <w:rFonts w:ascii="Century" w:hAnsi="Century" w:cs="Arial"/>
                <w:sz w:val="20"/>
                <w:szCs w:val="20"/>
              </w:rPr>
              <w:t xml:space="preserve">Los convenios se publicaran en la página electrónica </w:t>
            </w:r>
            <w:hyperlink r:id="rId11" w:history="1">
              <w:r w:rsidRPr="00F041D8">
                <w:rPr>
                  <w:rStyle w:val="Hipervnculo"/>
                  <w:rFonts w:ascii="Century" w:hAnsi="Century" w:cs="Arial"/>
                  <w:sz w:val="20"/>
                  <w:szCs w:val="20"/>
                </w:rPr>
                <w:t>www.sct.gob.mx</w:t>
              </w:r>
            </w:hyperlink>
          </w:p>
          <w:p w:rsidR="00440C92" w:rsidRPr="00CA0AE6" w:rsidRDefault="00440C92" w:rsidP="0096525B">
            <w:pPr>
              <w:spacing w:after="345"/>
              <w:jc w:val="both"/>
              <w:rPr>
                <w:rFonts w:ascii="Century" w:hAnsi="Century" w:cs="Arial"/>
                <w:sz w:val="20"/>
                <w:szCs w:val="20"/>
              </w:rPr>
            </w:pPr>
          </w:p>
        </w:tc>
      </w:tr>
      <w:tr w:rsidR="003B6C2D" w:rsidRPr="00CA0AE6" w:rsidTr="002012CD">
        <w:trPr>
          <w:trHeight w:val="2203"/>
        </w:trPr>
        <w:tc>
          <w:tcPr>
            <w:tcW w:w="1980" w:type="dxa"/>
            <w:vMerge/>
          </w:tcPr>
          <w:p w:rsidR="003B6C2D" w:rsidRPr="00CA0AE6" w:rsidRDefault="003B6C2D" w:rsidP="003B6C2D">
            <w:pPr>
              <w:jc w:val="center"/>
              <w:rPr>
                <w:rFonts w:ascii="Century" w:hAnsi="Century" w:cs="Arial"/>
                <w:b/>
                <w:sz w:val="20"/>
                <w:szCs w:val="20"/>
              </w:rPr>
            </w:pPr>
          </w:p>
        </w:tc>
        <w:tc>
          <w:tcPr>
            <w:tcW w:w="3451" w:type="dxa"/>
          </w:tcPr>
          <w:p w:rsidR="003B6C2D" w:rsidRPr="00CA0AE6" w:rsidRDefault="003B6C2D" w:rsidP="003B6C2D">
            <w:pPr>
              <w:pStyle w:val="Prrafodelista"/>
              <w:ind w:left="323"/>
              <w:jc w:val="both"/>
              <w:rPr>
                <w:rFonts w:ascii="Century" w:hAnsi="Century" w:cs="Arial"/>
                <w:b/>
                <w:sz w:val="20"/>
                <w:szCs w:val="20"/>
              </w:rPr>
            </w:pPr>
          </w:p>
          <w:p w:rsidR="003B6C2D" w:rsidRPr="00F5231E" w:rsidRDefault="003B6C2D" w:rsidP="003B6C2D">
            <w:pPr>
              <w:pStyle w:val="Prrafodelista"/>
              <w:numPr>
                <w:ilvl w:val="0"/>
                <w:numId w:val="8"/>
              </w:numPr>
              <w:ind w:left="317"/>
              <w:jc w:val="both"/>
              <w:rPr>
                <w:rFonts w:ascii="Century" w:hAnsi="Century" w:cs="Arial"/>
                <w:sz w:val="20"/>
                <w:szCs w:val="20"/>
              </w:rPr>
            </w:pPr>
            <w:r w:rsidRPr="00CA0AE6">
              <w:rPr>
                <w:rFonts w:ascii="Century" w:hAnsi="Century" w:cs="Arial"/>
                <w:sz w:val="20"/>
                <w:szCs w:val="20"/>
              </w:rPr>
              <w:t>Considerar en las Reglas de Operación del PET, trabajos relativos a la construcción de rodamientos de concreto para la conservación y reconstrucción de caminos.</w:t>
            </w:r>
          </w:p>
          <w:p w:rsidR="003B6C2D" w:rsidRPr="00CA0AE6" w:rsidRDefault="003B6C2D" w:rsidP="003B6C2D">
            <w:pPr>
              <w:ind w:left="323"/>
              <w:jc w:val="both"/>
              <w:rPr>
                <w:rFonts w:ascii="Century" w:hAnsi="Century" w:cs="Arial"/>
                <w:sz w:val="20"/>
                <w:szCs w:val="20"/>
              </w:rPr>
            </w:pPr>
          </w:p>
          <w:p w:rsidR="003B6C2D" w:rsidRPr="00CA0AE6" w:rsidRDefault="003B6C2D" w:rsidP="003B6C2D">
            <w:pPr>
              <w:ind w:left="323"/>
              <w:jc w:val="both"/>
              <w:rPr>
                <w:rFonts w:ascii="Century" w:hAnsi="Century" w:cs="Arial"/>
                <w:sz w:val="20"/>
                <w:szCs w:val="20"/>
              </w:rPr>
            </w:pPr>
          </w:p>
        </w:tc>
        <w:tc>
          <w:tcPr>
            <w:tcW w:w="7565" w:type="dxa"/>
          </w:tcPr>
          <w:p w:rsidR="003B6C2D" w:rsidRPr="00CA0AE6" w:rsidRDefault="0026087E" w:rsidP="003B6C2D">
            <w:pPr>
              <w:jc w:val="both"/>
              <w:rPr>
                <w:rFonts w:ascii="Century" w:hAnsi="Century" w:cs="Arial"/>
                <w:b/>
                <w:sz w:val="20"/>
                <w:szCs w:val="20"/>
              </w:rPr>
            </w:pPr>
            <w:r>
              <w:rPr>
                <w:rFonts w:ascii="Century" w:hAnsi="Century" w:cs="Arial"/>
                <w:b/>
                <w:sz w:val="20"/>
                <w:szCs w:val="20"/>
              </w:rPr>
              <w:t>No s</w:t>
            </w:r>
            <w:r w:rsidR="003B6C2D" w:rsidRPr="00CA0AE6">
              <w:rPr>
                <w:rFonts w:ascii="Century" w:hAnsi="Century" w:cs="Arial"/>
                <w:b/>
                <w:sz w:val="20"/>
                <w:szCs w:val="20"/>
              </w:rPr>
              <w:t>e suscribe la propuesta</w:t>
            </w:r>
            <w:r>
              <w:rPr>
                <w:rFonts w:ascii="Century" w:hAnsi="Century" w:cs="Arial"/>
                <w:b/>
                <w:sz w:val="20"/>
                <w:szCs w:val="20"/>
              </w:rPr>
              <w:t xml:space="preserve"> pero se presenta alternativa</w:t>
            </w:r>
          </w:p>
          <w:p w:rsidR="003B6C2D" w:rsidRDefault="003B6C2D" w:rsidP="003B6C2D">
            <w:pPr>
              <w:jc w:val="both"/>
              <w:rPr>
                <w:rFonts w:ascii="Century" w:hAnsi="Century" w:cs="Arial"/>
                <w:b/>
                <w:sz w:val="20"/>
                <w:szCs w:val="20"/>
              </w:rPr>
            </w:pPr>
          </w:p>
          <w:p w:rsidR="003B6C2D" w:rsidRPr="00CA0AE6" w:rsidRDefault="0026087E" w:rsidP="002012CD">
            <w:pPr>
              <w:jc w:val="both"/>
              <w:rPr>
                <w:rFonts w:ascii="Century" w:hAnsi="Century" w:cs="Arial"/>
                <w:sz w:val="20"/>
                <w:szCs w:val="20"/>
              </w:rPr>
            </w:pPr>
            <w:r w:rsidRPr="001E50A1">
              <w:rPr>
                <w:rFonts w:ascii="Century" w:hAnsi="Century" w:cs="Arial"/>
                <w:sz w:val="20"/>
                <w:szCs w:val="20"/>
              </w:rPr>
              <w:t xml:space="preserve">Considerando que la construcción de rodamiento de concreto es de </w:t>
            </w:r>
            <w:r>
              <w:rPr>
                <w:rFonts w:ascii="Century" w:hAnsi="Century" w:cs="Arial"/>
                <w:sz w:val="20"/>
                <w:szCs w:val="20"/>
              </w:rPr>
              <w:t xml:space="preserve">un elevado </w:t>
            </w:r>
            <w:r w:rsidRPr="001E50A1">
              <w:rPr>
                <w:rFonts w:ascii="Century" w:hAnsi="Century" w:cs="Arial"/>
                <w:sz w:val="20"/>
                <w:szCs w:val="20"/>
              </w:rPr>
              <w:t>costo</w:t>
            </w:r>
            <w:r>
              <w:rPr>
                <w:rFonts w:ascii="Century" w:hAnsi="Century" w:cs="Arial"/>
                <w:sz w:val="20"/>
                <w:szCs w:val="20"/>
              </w:rPr>
              <w:t xml:space="preserve">, lo cual impactaría en la disminución del beneficio en la población más vulnerable, por el momento se continuarán </w:t>
            </w:r>
            <w:r w:rsidR="002012CD">
              <w:rPr>
                <w:rFonts w:ascii="Century" w:hAnsi="Century" w:cs="Arial"/>
                <w:sz w:val="20"/>
                <w:szCs w:val="20"/>
              </w:rPr>
              <w:t>ejecutando los</w:t>
            </w:r>
            <w:r>
              <w:rPr>
                <w:rFonts w:ascii="Century" w:hAnsi="Century" w:cs="Arial"/>
                <w:sz w:val="20"/>
                <w:szCs w:val="20"/>
              </w:rPr>
              <w:t xml:space="preserve"> trabajos de conservación y reconstrucción de caminos</w:t>
            </w:r>
            <w:r w:rsidR="002012CD">
              <w:rPr>
                <w:rFonts w:ascii="Century" w:hAnsi="Century" w:cs="Arial"/>
                <w:sz w:val="20"/>
                <w:szCs w:val="20"/>
              </w:rPr>
              <w:t>,</w:t>
            </w:r>
            <w:r>
              <w:rPr>
                <w:rFonts w:ascii="Century" w:hAnsi="Century" w:cs="Arial"/>
                <w:sz w:val="20"/>
                <w:szCs w:val="20"/>
              </w:rPr>
              <w:t xml:space="preserve"> con los materiales que actualmente se encuentran establecidos en </w:t>
            </w:r>
            <w:r w:rsidR="002012CD">
              <w:rPr>
                <w:rFonts w:ascii="Century" w:hAnsi="Century" w:cs="Arial"/>
                <w:sz w:val="20"/>
                <w:szCs w:val="20"/>
              </w:rPr>
              <w:t>e</w:t>
            </w:r>
            <w:r>
              <w:rPr>
                <w:rFonts w:ascii="Century" w:hAnsi="Century" w:cs="Arial"/>
                <w:sz w:val="20"/>
                <w:szCs w:val="20"/>
              </w:rPr>
              <w:t>l</w:t>
            </w:r>
            <w:r w:rsidR="002012CD">
              <w:rPr>
                <w:rFonts w:ascii="Century" w:hAnsi="Century" w:cs="Arial"/>
                <w:sz w:val="20"/>
                <w:szCs w:val="20"/>
              </w:rPr>
              <w:t xml:space="preserve"> Instructivo Técnico para la Ejecución de los trabajos en el PET SCT.</w:t>
            </w:r>
          </w:p>
        </w:tc>
      </w:tr>
      <w:tr w:rsidR="002012CD" w:rsidRPr="00CA0AE6" w:rsidTr="00CA0AE6">
        <w:tc>
          <w:tcPr>
            <w:tcW w:w="1980" w:type="dxa"/>
            <w:vMerge/>
          </w:tcPr>
          <w:p w:rsidR="002012CD" w:rsidRPr="00CA0AE6" w:rsidRDefault="002012CD" w:rsidP="003B6C2D">
            <w:pPr>
              <w:jc w:val="center"/>
              <w:rPr>
                <w:rFonts w:ascii="Century" w:hAnsi="Century" w:cs="Arial"/>
                <w:b/>
                <w:sz w:val="20"/>
                <w:szCs w:val="20"/>
              </w:rPr>
            </w:pPr>
          </w:p>
        </w:tc>
        <w:tc>
          <w:tcPr>
            <w:tcW w:w="3451" w:type="dxa"/>
          </w:tcPr>
          <w:p w:rsidR="002012CD" w:rsidRPr="005E04F1" w:rsidRDefault="002012CD" w:rsidP="009A3FE0">
            <w:pPr>
              <w:pStyle w:val="Prrafodelista"/>
              <w:numPr>
                <w:ilvl w:val="0"/>
                <w:numId w:val="9"/>
              </w:numPr>
              <w:ind w:left="317"/>
              <w:jc w:val="both"/>
              <w:rPr>
                <w:rFonts w:ascii="Century" w:hAnsi="Century" w:cs="Arial"/>
                <w:sz w:val="20"/>
                <w:szCs w:val="20"/>
              </w:rPr>
            </w:pPr>
            <w:r w:rsidRPr="000D6544">
              <w:rPr>
                <w:rFonts w:ascii="Century" w:hAnsi="Century" w:cs="Arial"/>
                <w:sz w:val="20"/>
                <w:szCs w:val="20"/>
              </w:rPr>
              <w:t xml:space="preserve">Implementar </w:t>
            </w:r>
            <w:r w:rsidR="009A3FE0">
              <w:rPr>
                <w:rFonts w:ascii="Century" w:hAnsi="Century" w:cs="Arial"/>
                <w:sz w:val="20"/>
                <w:szCs w:val="20"/>
              </w:rPr>
              <w:t>p</w:t>
            </w:r>
            <w:r w:rsidRPr="000D6544">
              <w:rPr>
                <w:rFonts w:ascii="Century" w:hAnsi="Century" w:cs="Arial"/>
                <w:sz w:val="20"/>
                <w:szCs w:val="20"/>
              </w:rPr>
              <w:t xml:space="preserve">rogramas </w:t>
            </w:r>
            <w:r w:rsidR="009A3FE0">
              <w:rPr>
                <w:rFonts w:ascii="Century" w:hAnsi="Century" w:cs="Arial"/>
                <w:sz w:val="20"/>
                <w:szCs w:val="20"/>
              </w:rPr>
              <w:t>a</w:t>
            </w:r>
            <w:r w:rsidRPr="000D6544">
              <w:rPr>
                <w:rFonts w:ascii="Century" w:hAnsi="Century" w:cs="Arial"/>
                <w:sz w:val="20"/>
                <w:szCs w:val="20"/>
              </w:rPr>
              <w:t>lter</w:t>
            </w:r>
            <w:r w:rsidR="009A3FE0">
              <w:rPr>
                <w:rFonts w:ascii="Century" w:hAnsi="Century" w:cs="Arial"/>
                <w:sz w:val="20"/>
                <w:szCs w:val="20"/>
              </w:rPr>
              <w:t>nos como ejercicio integral de atención a la población objetivo del PET.</w:t>
            </w:r>
          </w:p>
        </w:tc>
        <w:tc>
          <w:tcPr>
            <w:tcW w:w="7565" w:type="dxa"/>
          </w:tcPr>
          <w:p w:rsidR="002012CD" w:rsidRPr="00CA0AE6" w:rsidRDefault="002012CD" w:rsidP="002012CD">
            <w:pPr>
              <w:jc w:val="both"/>
              <w:rPr>
                <w:rFonts w:ascii="Century" w:hAnsi="Century" w:cs="Arial"/>
                <w:b/>
                <w:sz w:val="20"/>
                <w:szCs w:val="20"/>
              </w:rPr>
            </w:pPr>
            <w:r w:rsidRPr="00CA0AE6">
              <w:rPr>
                <w:rFonts w:ascii="Century" w:hAnsi="Century" w:cs="Arial"/>
                <w:b/>
                <w:sz w:val="20"/>
                <w:szCs w:val="20"/>
              </w:rPr>
              <w:t>Se suscribe la propuesta</w:t>
            </w:r>
            <w:r w:rsidR="007E1684" w:rsidRPr="00CA0AE6">
              <w:rPr>
                <w:rFonts w:ascii="Century" w:hAnsi="Century" w:cs="Arial"/>
                <w:b/>
                <w:sz w:val="20"/>
                <w:szCs w:val="20"/>
              </w:rPr>
              <w:t xml:space="preserve"> parcialmente</w:t>
            </w:r>
          </w:p>
          <w:p w:rsidR="002012CD" w:rsidRPr="00CA0AE6" w:rsidRDefault="002012CD" w:rsidP="002012CD">
            <w:pPr>
              <w:jc w:val="both"/>
              <w:rPr>
                <w:rFonts w:ascii="Century" w:hAnsi="Century" w:cs="Arial"/>
                <w:sz w:val="20"/>
                <w:szCs w:val="20"/>
              </w:rPr>
            </w:pPr>
          </w:p>
          <w:p w:rsidR="00017DA3" w:rsidRDefault="009A3FE0" w:rsidP="002012CD">
            <w:pPr>
              <w:jc w:val="both"/>
              <w:rPr>
                <w:rFonts w:ascii="Century" w:hAnsi="Century" w:cs="Arial"/>
                <w:sz w:val="20"/>
                <w:szCs w:val="20"/>
              </w:rPr>
            </w:pPr>
            <w:r>
              <w:rPr>
                <w:rFonts w:ascii="Century" w:hAnsi="Century" w:cs="Arial"/>
                <w:sz w:val="20"/>
                <w:szCs w:val="20"/>
              </w:rPr>
              <w:t xml:space="preserve">Durante el último trimestre de 2014, </w:t>
            </w:r>
            <w:r w:rsidR="00017DA3">
              <w:rPr>
                <w:rFonts w:ascii="Century" w:hAnsi="Century" w:cs="Arial"/>
                <w:sz w:val="20"/>
                <w:szCs w:val="20"/>
              </w:rPr>
              <w:t xml:space="preserve">la SCT </w:t>
            </w:r>
            <w:r w:rsidR="00D554AD">
              <w:rPr>
                <w:rFonts w:ascii="Century" w:hAnsi="Century" w:cs="Arial"/>
                <w:sz w:val="20"/>
                <w:szCs w:val="20"/>
              </w:rPr>
              <w:t xml:space="preserve">formuló </w:t>
            </w:r>
            <w:r w:rsidR="00017DA3">
              <w:rPr>
                <w:rFonts w:ascii="Century" w:hAnsi="Century" w:cs="Arial"/>
                <w:sz w:val="20"/>
                <w:szCs w:val="20"/>
              </w:rPr>
              <w:t xml:space="preserve">ante la Comisión Intersecretarial para la Instrumentación de la Cruzada Nacional </w:t>
            </w:r>
            <w:r w:rsidR="00E03845">
              <w:rPr>
                <w:rFonts w:ascii="Century" w:hAnsi="Century" w:cs="Arial"/>
                <w:sz w:val="20"/>
                <w:szCs w:val="20"/>
              </w:rPr>
              <w:t>C</w:t>
            </w:r>
            <w:r w:rsidR="00017DA3">
              <w:rPr>
                <w:rFonts w:ascii="Century" w:hAnsi="Century" w:cs="Arial"/>
                <w:sz w:val="20"/>
                <w:szCs w:val="20"/>
              </w:rPr>
              <w:t>ontra el Hambre</w:t>
            </w:r>
            <w:r w:rsidR="00E03845">
              <w:rPr>
                <w:rFonts w:ascii="Century" w:hAnsi="Century" w:cs="Arial"/>
                <w:sz w:val="20"/>
                <w:szCs w:val="20"/>
              </w:rPr>
              <w:t xml:space="preserve"> (CIICNH)</w:t>
            </w:r>
            <w:r w:rsidR="00017DA3">
              <w:rPr>
                <w:rFonts w:ascii="Century" w:hAnsi="Century" w:cs="Arial"/>
                <w:sz w:val="20"/>
                <w:szCs w:val="20"/>
              </w:rPr>
              <w:t xml:space="preserve">, </w:t>
            </w:r>
            <w:r w:rsidR="00D554AD">
              <w:rPr>
                <w:rFonts w:ascii="Century" w:hAnsi="Century" w:cs="Arial"/>
                <w:sz w:val="20"/>
                <w:szCs w:val="20"/>
              </w:rPr>
              <w:t>la propuesta de</w:t>
            </w:r>
            <w:r w:rsidR="002012CD" w:rsidRPr="00CA0AE6">
              <w:rPr>
                <w:rFonts w:ascii="Century" w:hAnsi="Century" w:cs="Arial"/>
                <w:sz w:val="20"/>
                <w:szCs w:val="20"/>
              </w:rPr>
              <w:t xml:space="preserve"> </w:t>
            </w:r>
            <w:r w:rsidR="00E03845">
              <w:rPr>
                <w:rFonts w:ascii="Century" w:hAnsi="Century" w:cs="Arial"/>
                <w:sz w:val="20"/>
                <w:szCs w:val="20"/>
              </w:rPr>
              <w:t>colaborar</w:t>
            </w:r>
            <w:r w:rsidR="002012CD" w:rsidRPr="00CA0AE6">
              <w:rPr>
                <w:rFonts w:ascii="Century" w:hAnsi="Century" w:cs="Arial"/>
                <w:sz w:val="20"/>
                <w:szCs w:val="20"/>
              </w:rPr>
              <w:t xml:space="preserve"> con el Instituto Nacional para la Educación de los Adultos</w:t>
            </w:r>
            <w:r w:rsidR="00017DA3">
              <w:rPr>
                <w:rFonts w:ascii="Century" w:hAnsi="Century" w:cs="Arial"/>
                <w:sz w:val="20"/>
                <w:szCs w:val="20"/>
              </w:rPr>
              <w:t xml:space="preserve">, </w:t>
            </w:r>
            <w:r w:rsidR="00E03845">
              <w:rPr>
                <w:rFonts w:ascii="Century" w:hAnsi="Century" w:cs="Arial"/>
                <w:sz w:val="20"/>
                <w:szCs w:val="20"/>
              </w:rPr>
              <w:t>en la</w:t>
            </w:r>
            <w:r w:rsidR="00017DA3">
              <w:rPr>
                <w:rFonts w:ascii="Century" w:hAnsi="Century" w:cs="Arial"/>
                <w:sz w:val="20"/>
                <w:szCs w:val="20"/>
              </w:rPr>
              <w:t xml:space="preserve"> difu</w:t>
            </w:r>
            <w:r w:rsidR="00E03845">
              <w:rPr>
                <w:rFonts w:ascii="Century" w:hAnsi="Century" w:cs="Arial"/>
                <w:sz w:val="20"/>
                <w:szCs w:val="20"/>
              </w:rPr>
              <w:t xml:space="preserve">sión </w:t>
            </w:r>
            <w:r w:rsidR="00017DA3">
              <w:rPr>
                <w:rFonts w:ascii="Century" w:hAnsi="Century" w:cs="Arial"/>
                <w:sz w:val="20"/>
                <w:szCs w:val="20"/>
              </w:rPr>
              <w:t xml:space="preserve">del material publicitario para fomentar la </w:t>
            </w:r>
            <w:r w:rsidR="00017DA3" w:rsidRPr="00CA0AE6">
              <w:rPr>
                <w:rFonts w:ascii="Century" w:hAnsi="Century" w:cs="Arial"/>
                <w:sz w:val="20"/>
                <w:szCs w:val="20"/>
              </w:rPr>
              <w:t>Campaña Nacional de Alfabetización y Abatimiento del Rezago Educativo</w:t>
            </w:r>
            <w:r w:rsidR="00017DA3">
              <w:rPr>
                <w:rFonts w:ascii="Century" w:hAnsi="Century" w:cs="Arial"/>
                <w:sz w:val="20"/>
                <w:szCs w:val="20"/>
              </w:rPr>
              <w:t xml:space="preserve"> en las localidades donde el PET incursiona.</w:t>
            </w:r>
          </w:p>
          <w:p w:rsidR="00017DA3" w:rsidRDefault="00017DA3" w:rsidP="002012CD">
            <w:pPr>
              <w:jc w:val="both"/>
              <w:rPr>
                <w:rFonts w:ascii="Century" w:hAnsi="Century" w:cs="Arial"/>
                <w:sz w:val="20"/>
                <w:szCs w:val="20"/>
              </w:rPr>
            </w:pPr>
          </w:p>
          <w:p w:rsidR="002012CD" w:rsidRPr="00CA0AE6" w:rsidRDefault="000572C9" w:rsidP="00844074">
            <w:pPr>
              <w:jc w:val="both"/>
              <w:rPr>
                <w:rFonts w:ascii="Century" w:hAnsi="Century" w:cs="Arial"/>
                <w:b/>
                <w:sz w:val="20"/>
                <w:szCs w:val="20"/>
              </w:rPr>
            </w:pPr>
            <w:r>
              <w:rPr>
                <w:rFonts w:ascii="Century" w:hAnsi="Century" w:cs="Arial"/>
                <w:sz w:val="20"/>
                <w:szCs w:val="20"/>
              </w:rPr>
              <w:t>Asimismo</w:t>
            </w:r>
            <w:r w:rsidR="005D588C">
              <w:rPr>
                <w:rFonts w:ascii="Century" w:hAnsi="Century" w:cs="Arial"/>
                <w:sz w:val="20"/>
                <w:szCs w:val="20"/>
              </w:rPr>
              <w:t>, y con el propósito de implementar actividades</w:t>
            </w:r>
            <w:r>
              <w:rPr>
                <w:rFonts w:ascii="Century" w:hAnsi="Century" w:cs="Arial"/>
                <w:sz w:val="20"/>
                <w:szCs w:val="20"/>
              </w:rPr>
              <w:t xml:space="preserve"> altern</w:t>
            </w:r>
            <w:r w:rsidR="005D588C">
              <w:rPr>
                <w:rFonts w:ascii="Century" w:hAnsi="Century" w:cs="Arial"/>
                <w:sz w:val="20"/>
                <w:szCs w:val="20"/>
              </w:rPr>
              <w:t>a</w:t>
            </w:r>
            <w:r>
              <w:rPr>
                <w:rFonts w:ascii="Century" w:hAnsi="Century" w:cs="Arial"/>
                <w:sz w:val="20"/>
                <w:szCs w:val="20"/>
              </w:rPr>
              <w:t>s</w:t>
            </w:r>
            <w:r w:rsidR="005D588C">
              <w:rPr>
                <w:rFonts w:ascii="Century" w:hAnsi="Century" w:cs="Arial"/>
                <w:sz w:val="20"/>
                <w:szCs w:val="20"/>
              </w:rPr>
              <w:t xml:space="preserve"> durante la ejecución del PET</w:t>
            </w:r>
            <w:r>
              <w:rPr>
                <w:rFonts w:ascii="Century" w:hAnsi="Century" w:cs="Arial"/>
                <w:sz w:val="20"/>
                <w:szCs w:val="20"/>
              </w:rPr>
              <w:t xml:space="preserve">, durante </w:t>
            </w:r>
            <w:r w:rsidR="009A3FE0">
              <w:rPr>
                <w:rFonts w:ascii="Century" w:hAnsi="Century" w:cs="Arial"/>
                <w:sz w:val="20"/>
                <w:szCs w:val="20"/>
              </w:rPr>
              <w:t>el ejercicio 2015 se someterá</w:t>
            </w:r>
            <w:r w:rsidR="005D588C">
              <w:rPr>
                <w:rFonts w:ascii="Century" w:hAnsi="Century" w:cs="Arial"/>
                <w:sz w:val="20"/>
                <w:szCs w:val="20"/>
              </w:rPr>
              <w:t xml:space="preserve"> la inclusión del Programa en el rubro de atención denominado “Comunicación Educativa Ciudadana” </w:t>
            </w:r>
            <w:r w:rsidR="009A3FE0">
              <w:rPr>
                <w:rFonts w:ascii="Century" w:hAnsi="Century" w:cs="Arial"/>
                <w:sz w:val="20"/>
                <w:szCs w:val="20"/>
              </w:rPr>
              <w:t xml:space="preserve">al Comité Técnico del Programa de Empleo Temporal </w:t>
            </w:r>
            <w:r>
              <w:rPr>
                <w:rFonts w:ascii="Century" w:hAnsi="Century" w:cs="Arial"/>
                <w:sz w:val="20"/>
                <w:szCs w:val="20"/>
              </w:rPr>
              <w:t>para su</w:t>
            </w:r>
            <w:r w:rsidR="009A3FE0">
              <w:rPr>
                <w:rFonts w:ascii="Century" w:hAnsi="Century" w:cs="Arial"/>
                <w:sz w:val="20"/>
                <w:szCs w:val="20"/>
              </w:rPr>
              <w:t xml:space="preserve"> incorpor</w:t>
            </w:r>
            <w:r w:rsidR="00827134">
              <w:rPr>
                <w:rFonts w:ascii="Century" w:hAnsi="Century" w:cs="Arial"/>
                <w:sz w:val="20"/>
                <w:szCs w:val="20"/>
              </w:rPr>
              <w:t xml:space="preserve">ación en las Reglas de operación </w:t>
            </w:r>
            <w:r>
              <w:rPr>
                <w:rFonts w:ascii="Century" w:hAnsi="Century" w:cs="Arial"/>
                <w:sz w:val="20"/>
                <w:szCs w:val="20"/>
              </w:rPr>
              <w:t xml:space="preserve">del </w:t>
            </w:r>
            <w:r w:rsidR="00827134">
              <w:rPr>
                <w:rFonts w:ascii="Century" w:hAnsi="Century" w:cs="Arial"/>
                <w:sz w:val="20"/>
                <w:szCs w:val="20"/>
              </w:rPr>
              <w:t>PET 201</w:t>
            </w:r>
            <w:r>
              <w:rPr>
                <w:rFonts w:ascii="Century" w:hAnsi="Century" w:cs="Arial"/>
                <w:sz w:val="20"/>
                <w:szCs w:val="20"/>
              </w:rPr>
              <w:t>6</w:t>
            </w:r>
            <w:r w:rsidR="00827134">
              <w:rPr>
                <w:rFonts w:ascii="Century" w:hAnsi="Century" w:cs="Arial"/>
                <w:sz w:val="20"/>
                <w:szCs w:val="20"/>
              </w:rPr>
              <w:t>.</w:t>
            </w:r>
            <w:bookmarkStart w:id="0" w:name="_GoBack"/>
            <w:bookmarkEnd w:id="0"/>
          </w:p>
        </w:tc>
      </w:tr>
      <w:tr w:rsidR="006D1F5F" w:rsidRPr="00CA0AE6" w:rsidTr="006D1F5F">
        <w:trPr>
          <w:trHeight w:val="864"/>
        </w:trPr>
        <w:tc>
          <w:tcPr>
            <w:tcW w:w="1980" w:type="dxa"/>
            <w:vMerge/>
          </w:tcPr>
          <w:p w:rsidR="006D1F5F" w:rsidRPr="00CA0AE6" w:rsidRDefault="006D1F5F" w:rsidP="003B6C2D">
            <w:pPr>
              <w:jc w:val="center"/>
              <w:rPr>
                <w:rFonts w:ascii="Century" w:hAnsi="Century" w:cs="Arial"/>
                <w:b/>
                <w:sz w:val="20"/>
                <w:szCs w:val="20"/>
              </w:rPr>
            </w:pPr>
          </w:p>
        </w:tc>
        <w:tc>
          <w:tcPr>
            <w:tcW w:w="3451" w:type="dxa"/>
          </w:tcPr>
          <w:p w:rsidR="006D1F5F" w:rsidRPr="005E04F1" w:rsidRDefault="006D1F5F" w:rsidP="002012CD">
            <w:pPr>
              <w:pStyle w:val="Prrafodelista"/>
              <w:numPr>
                <w:ilvl w:val="0"/>
                <w:numId w:val="9"/>
              </w:numPr>
              <w:ind w:left="317"/>
              <w:jc w:val="both"/>
              <w:rPr>
                <w:rFonts w:ascii="Century" w:hAnsi="Century" w:cs="Arial"/>
                <w:sz w:val="20"/>
                <w:szCs w:val="20"/>
              </w:rPr>
            </w:pPr>
            <w:r>
              <w:rPr>
                <w:rFonts w:ascii="Century" w:hAnsi="Century" w:cs="Arial"/>
                <w:sz w:val="20"/>
                <w:szCs w:val="20"/>
              </w:rPr>
              <w:t>I</w:t>
            </w:r>
            <w:r w:rsidRPr="005E04F1">
              <w:rPr>
                <w:rFonts w:ascii="Century" w:hAnsi="Century" w:cs="Arial"/>
                <w:sz w:val="20"/>
                <w:szCs w:val="20"/>
              </w:rPr>
              <w:t>ncrement</w:t>
            </w:r>
            <w:r>
              <w:rPr>
                <w:rFonts w:ascii="Century" w:hAnsi="Century" w:cs="Arial"/>
                <w:sz w:val="20"/>
                <w:szCs w:val="20"/>
              </w:rPr>
              <w:t>ar</w:t>
            </w:r>
            <w:r w:rsidRPr="005E04F1">
              <w:rPr>
                <w:rFonts w:ascii="Century" w:hAnsi="Century" w:cs="Arial"/>
                <w:sz w:val="20"/>
                <w:szCs w:val="20"/>
              </w:rPr>
              <w:t xml:space="preserve"> el costo del jornal</w:t>
            </w:r>
            <w:r>
              <w:rPr>
                <w:rFonts w:ascii="Century" w:hAnsi="Century" w:cs="Arial"/>
                <w:sz w:val="20"/>
                <w:szCs w:val="20"/>
              </w:rPr>
              <w:t>.</w:t>
            </w:r>
          </w:p>
        </w:tc>
        <w:tc>
          <w:tcPr>
            <w:tcW w:w="7565" w:type="dxa"/>
            <w:vMerge w:val="restart"/>
          </w:tcPr>
          <w:p w:rsidR="006D1F5F" w:rsidRPr="00CA0AE6" w:rsidRDefault="006D1F5F" w:rsidP="007E1684">
            <w:pPr>
              <w:jc w:val="both"/>
              <w:rPr>
                <w:rFonts w:ascii="Century" w:hAnsi="Century" w:cs="Arial"/>
                <w:b/>
                <w:sz w:val="20"/>
                <w:szCs w:val="20"/>
              </w:rPr>
            </w:pPr>
            <w:r>
              <w:rPr>
                <w:rFonts w:ascii="Century" w:hAnsi="Century" w:cs="Arial"/>
                <w:b/>
                <w:sz w:val="20"/>
                <w:szCs w:val="20"/>
              </w:rPr>
              <w:t>No s</w:t>
            </w:r>
            <w:r w:rsidRPr="00CA0AE6">
              <w:rPr>
                <w:rFonts w:ascii="Century" w:hAnsi="Century" w:cs="Arial"/>
                <w:b/>
                <w:sz w:val="20"/>
                <w:szCs w:val="20"/>
              </w:rPr>
              <w:t>e suscribe la propuesta</w:t>
            </w:r>
            <w:r>
              <w:rPr>
                <w:rFonts w:ascii="Century" w:hAnsi="Century" w:cs="Arial"/>
                <w:b/>
                <w:sz w:val="20"/>
                <w:szCs w:val="20"/>
              </w:rPr>
              <w:t xml:space="preserve"> pero se presenta alternativa</w:t>
            </w:r>
          </w:p>
          <w:p w:rsidR="006D1F5F" w:rsidRPr="00CA0AE6" w:rsidRDefault="006D1F5F" w:rsidP="007E1684">
            <w:pPr>
              <w:jc w:val="both"/>
              <w:rPr>
                <w:rFonts w:ascii="Century" w:hAnsi="Century" w:cs="Arial"/>
                <w:b/>
                <w:sz w:val="20"/>
                <w:szCs w:val="20"/>
              </w:rPr>
            </w:pPr>
          </w:p>
          <w:p w:rsidR="006D1F5F" w:rsidRPr="00CA0AE6" w:rsidRDefault="006D1F5F" w:rsidP="007E1684">
            <w:pPr>
              <w:jc w:val="both"/>
              <w:rPr>
                <w:rFonts w:ascii="Century" w:hAnsi="Century" w:cs="Arial"/>
                <w:sz w:val="20"/>
                <w:szCs w:val="20"/>
              </w:rPr>
            </w:pPr>
            <w:r>
              <w:rPr>
                <w:rFonts w:ascii="Century" w:hAnsi="Century" w:cs="Arial"/>
                <w:sz w:val="20"/>
                <w:szCs w:val="20"/>
              </w:rPr>
              <w:t xml:space="preserve">Durante el ejercicio 2015, </w:t>
            </w:r>
            <w:r w:rsidRPr="00CA0AE6">
              <w:rPr>
                <w:rFonts w:ascii="Century" w:hAnsi="Century" w:cs="Arial"/>
                <w:sz w:val="20"/>
                <w:szCs w:val="20"/>
              </w:rPr>
              <w:t xml:space="preserve">se formulará </w:t>
            </w:r>
            <w:r>
              <w:rPr>
                <w:rFonts w:ascii="Century" w:hAnsi="Century" w:cs="Arial"/>
                <w:sz w:val="20"/>
                <w:szCs w:val="20"/>
              </w:rPr>
              <w:t xml:space="preserve">la justificación correspondiente </w:t>
            </w:r>
            <w:r w:rsidRPr="00CA0AE6">
              <w:rPr>
                <w:rFonts w:ascii="Century" w:hAnsi="Century" w:cs="Arial"/>
                <w:sz w:val="20"/>
                <w:szCs w:val="20"/>
              </w:rPr>
              <w:t>ante los miembros del Grupo Permanente de Trabajo d</w:t>
            </w:r>
            <w:r>
              <w:rPr>
                <w:rFonts w:ascii="Century" w:hAnsi="Century" w:cs="Arial"/>
                <w:sz w:val="20"/>
                <w:szCs w:val="20"/>
              </w:rPr>
              <w:t>el Programa de Empleo Temporal, y en su caso, ante el Comité Técnico del Programa de Empleo Temporal para su incorporación en las Reglas de operación del PET 2016.</w:t>
            </w:r>
          </w:p>
          <w:p w:rsidR="006D1F5F" w:rsidRPr="00CA0AE6" w:rsidRDefault="006D1F5F" w:rsidP="007E1684">
            <w:pPr>
              <w:jc w:val="both"/>
              <w:rPr>
                <w:rFonts w:ascii="Century" w:hAnsi="Century" w:cs="Arial"/>
                <w:b/>
                <w:sz w:val="20"/>
                <w:szCs w:val="20"/>
              </w:rPr>
            </w:pPr>
          </w:p>
        </w:tc>
      </w:tr>
      <w:tr w:rsidR="006D1F5F" w:rsidRPr="00CA0AE6" w:rsidTr="00CA0AE6">
        <w:trPr>
          <w:trHeight w:val="851"/>
        </w:trPr>
        <w:tc>
          <w:tcPr>
            <w:tcW w:w="1980" w:type="dxa"/>
            <w:vMerge/>
          </w:tcPr>
          <w:p w:rsidR="006D1F5F" w:rsidRPr="00CA0AE6" w:rsidRDefault="006D1F5F" w:rsidP="003B6C2D">
            <w:pPr>
              <w:jc w:val="center"/>
              <w:rPr>
                <w:rFonts w:ascii="Century" w:hAnsi="Century" w:cs="Arial"/>
                <w:b/>
                <w:sz w:val="20"/>
                <w:szCs w:val="20"/>
              </w:rPr>
            </w:pPr>
          </w:p>
        </w:tc>
        <w:tc>
          <w:tcPr>
            <w:tcW w:w="3451" w:type="dxa"/>
          </w:tcPr>
          <w:p w:rsidR="006D1F5F" w:rsidRDefault="006D1F5F" w:rsidP="002012CD">
            <w:pPr>
              <w:pStyle w:val="Prrafodelista"/>
              <w:numPr>
                <w:ilvl w:val="0"/>
                <w:numId w:val="9"/>
              </w:numPr>
              <w:ind w:left="317"/>
              <w:jc w:val="both"/>
              <w:rPr>
                <w:rFonts w:ascii="Century" w:hAnsi="Century" w:cs="Arial"/>
                <w:sz w:val="20"/>
                <w:szCs w:val="20"/>
              </w:rPr>
            </w:pPr>
            <w:r>
              <w:rPr>
                <w:rFonts w:ascii="Century" w:hAnsi="Century" w:cs="Arial"/>
                <w:sz w:val="20"/>
                <w:szCs w:val="20"/>
              </w:rPr>
              <w:t>I</w:t>
            </w:r>
            <w:r w:rsidRPr="005E04F1">
              <w:rPr>
                <w:rFonts w:ascii="Century" w:hAnsi="Century" w:cs="Arial"/>
                <w:sz w:val="20"/>
                <w:szCs w:val="20"/>
              </w:rPr>
              <w:t>ncrement</w:t>
            </w:r>
            <w:r>
              <w:rPr>
                <w:rFonts w:ascii="Century" w:hAnsi="Century" w:cs="Arial"/>
                <w:sz w:val="20"/>
                <w:szCs w:val="20"/>
              </w:rPr>
              <w:t>ar</w:t>
            </w:r>
            <w:r w:rsidRPr="005E04F1">
              <w:rPr>
                <w:rFonts w:ascii="Century" w:hAnsi="Century" w:cs="Arial"/>
                <w:sz w:val="20"/>
                <w:szCs w:val="20"/>
              </w:rPr>
              <w:t xml:space="preserve"> la cantidad máxima de jornales, por ejercicio fiscal.</w:t>
            </w:r>
          </w:p>
        </w:tc>
        <w:tc>
          <w:tcPr>
            <w:tcW w:w="7565" w:type="dxa"/>
            <w:vMerge/>
          </w:tcPr>
          <w:p w:rsidR="006D1F5F" w:rsidRDefault="006D1F5F" w:rsidP="007E1684">
            <w:pPr>
              <w:jc w:val="both"/>
              <w:rPr>
                <w:rFonts w:ascii="Century" w:hAnsi="Century" w:cs="Arial"/>
                <w:b/>
                <w:sz w:val="20"/>
                <w:szCs w:val="20"/>
              </w:rPr>
            </w:pPr>
          </w:p>
        </w:tc>
      </w:tr>
      <w:tr w:rsidR="003B6C2D" w:rsidRPr="00CA0AE6" w:rsidTr="00F71D4C">
        <w:trPr>
          <w:trHeight w:val="1489"/>
        </w:trPr>
        <w:tc>
          <w:tcPr>
            <w:tcW w:w="1980" w:type="dxa"/>
            <w:vMerge/>
          </w:tcPr>
          <w:p w:rsidR="003B6C2D" w:rsidRPr="00CA0AE6" w:rsidRDefault="003B6C2D" w:rsidP="003B6C2D">
            <w:pPr>
              <w:jc w:val="center"/>
              <w:rPr>
                <w:rFonts w:ascii="Century" w:hAnsi="Century" w:cs="Arial"/>
                <w:b/>
                <w:sz w:val="20"/>
                <w:szCs w:val="20"/>
              </w:rPr>
            </w:pPr>
          </w:p>
        </w:tc>
        <w:tc>
          <w:tcPr>
            <w:tcW w:w="3451" w:type="dxa"/>
          </w:tcPr>
          <w:p w:rsidR="003B6C2D" w:rsidRPr="00F5231E" w:rsidRDefault="00C74F8A" w:rsidP="002012CD">
            <w:pPr>
              <w:pStyle w:val="Prrafodelista"/>
              <w:numPr>
                <w:ilvl w:val="0"/>
                <w:numId w:val="9"/>
              </w:numPr>
              <w:ind w:left="317"/>
              <w:jc w:val="both"/>
              <w:rPr>
                <w:rFonts w:ascii="Century" w:hAnsi="Century" w:cs="Arial"/>
                <w:sz w:val="20"/>
                <w:szCs w:val="20"/>
              </w:rPr>
            </w:pPr>
            <w:r>
              <w:rPr>
                <w:rFonts w:ascii="Century" w:hAnsi="Century" w:cstheme="minorBidi"/>
                <w:sz w:val="20"/>
                <w:szCs w:val="20"/>
              </w:rPr>
              <w:t>Efectuar</w:t>
            </w:r>
            <w:r w:rsidRPr="005E04F1">
              <w:rPr>
                <w:rFonts w:ascii="Century" w:hAnsi="Century" w:cstheme="minorBidi"/>
                <w:sz w:val="20"/>
                <w:szCs w:val="20"/>
              </w:rPr>
              <w:t xml:space="preserve"> mayores acciones de reconstrucción de caminos rurales y alimentadores para mayor </w:t>
            </w:r>
            <w:r w:rsidRPr="005E04F1">
              <w:rPr>
                <w:rFonts w:ascii="Century" w:hAnsi="Century" w:cs="Arial"/>
                <w:sz w:val="20"/>
                <w:szCs w:val="20"/>
              </w:rPr>
              <w:t>permanencia de los trabajos realizados</w:t>
            </w:r>
            <w:r>
              <w:rPr>
                <w:rFonts w:ascii="Century" w:hAnsi="Century" w:cs="Arial"/>
                <w:sz w:val="20"/>
                <w:szCs w:val="20"/>
              </w:rPr>
              <w:t>.</w:t>
            </w:r>
          </w:p>
        </w:tc>
        <w:tc>
          <w:tcPr>
            <w:tcW w:w="7565" w:type="dxa"/>
          </w:tcPr>
          <w:p w:rsidR="00F71D4C" w:rsidRPr="00CA0AE6" w:rsidRDefault="00F71D4C" w:rsidP="00F71D4C">
            <w:pPr>
              <w:jc w:val="both"/>
              <w:rPr>
                <w:rFonts w:ascii="Century" w:hAnsi="Century" w:cs="Arial"/>
                <w:b/>
                <w:sz w:val="20"/>
                <w:szCs w:val="20"/>
              </w:rPr>
            </w:pPr>
            <w:r>
              <w:rPr>
                <w:rFonts w:ascii="Century" w:hAnsi="Century" w:cs="Arial"/>
                <w:b/>
                <w:sz w:val="20"/>
                <w:szCs w:val="20"/>
              </w:rPr>
              <w:t>No s</w:t>
            </w:r>
            <w:r w:rsidRPr="00CA0AE6">
              <w:rPr>
                <w:rFonts w:ascii="Century" w:hAnsi="Century" w:cs="Arial"/>
                <w:b/>
                <w:sz w:val="20"/>
                <w:szCs w:val="20"/>
              </w:rPr>
              <w:t>e suscribe la propuesta</w:t>
            </w:r>
            <w:r>
              <w:rPr>
                <w:rFonts w:ascii="Century" w:hAnsi="Century" w:cs="Arial"/>
                <w:b/>
                <w:sz w:val="20"/>
                <w:szCs w:val="20"/>
              </w:rPr>
              <w:t xml:space="preserve"> pero se presenta alternativa</w:t>
            </w:r>
          </w:p>
          <w:p w:rsidR="003B6C2D" w:rsidRDefault="003B6C2D" w:rsidP="003B6C2D">
            <w:pPr>
              <w:jc w:val="both"/>
              <w:rPr>
                <w:rFonts w:ascii="Century" w:hAnsi="Century" w:cs="Arial"/>
                <w:b/>
                <w:sz w:val="20"/>
                <w:szCs w:val="20"/>
              </w:rPr>
            </w:pPr>
          </w:p>
          <w:p w:rsidR="0046653D" w:rsidRDefault="00F71D4C" w:rsidP="00F71D4C">
            <w:pPr>
              <w:jc w:val="both"/>
              <w:rPr>
                <w:rFonts w:ascii="Century" w:hAnsi="Century" w:cs="Arial"/>
                <w:sz w:val="20"/>
                <w:szCs w:val="20"/>
              </w:rPr>
            </w:pPr>
            <w:r w:rsidRPr="00F71D4C">
              <w:rPr>
                <w:rFonts w:ascii="Century" w:hAnsi="Century" w:cs="Arial"/>
                <w:sz w:val="20"/>
                <w:szCs w:val="20"/>
              </w:rPr>
              <w:t>Considerando</w:t>
            </w:r>
            <w:r>
              <w:rPr>
                <w:rFonts w:ascii="Century" w:hAnsi="Century" w:cs="Arial"/>
                <w:sz w:val="20"/>
                <w:szCs w:val="20"/>
              </w:rPr>
              <w:t xml:space="preserve"> que el Programa de Empleo Temporal tiene como objetivo </w:t>
            </w:r>
            <w:r w:rsidR="0046653D">
              <w:rPr>
                <w:rFonts w:ascii="Century" w:hAnsi="Century" w:cs="Arial"/>
                <w:sz w:val="20"/>
                <w:szCs w:val="20"/>
              </w:rPr>
              <w:t>“C</w:t>
            </w:r>
            <w:r w:rsidRPr="00F71D4C">
              <w:rPr>
                <w:rFonts w:ascii="Century" w:hAnsi="Century" w:cs="Arial"/>
                <w:sz w:val="20"/>
                <w:szCs w:val="20"/>
              </w:rPr>
              <w:t>ontri</w:t>
            </w:r>
            <w:r>
              <w:rPr>
                <w:rFonts w:ascii="Century" w:hAnsi="Century" w:cs="Arial"/>
                <w:sz w:val="20"/>
                <w:szCs w:val="20"/>
              </w:rPr>
              <w:t>buir</w:t>
            </w:r>
            <w:r w:rsidRPr="00F71D4C">
              <w:rPr>
                <w:rFonts w:ascii="Century" w:hAnsi="Century" w:cs="Arial"/>
                <w:sz w:val="20"/>
                <w:szCs w:val="20"/>
              </w:rPr>
              <w:t xml:space="preserve"> a la protección del bienestar socioeconómico de la población afectada por situaciones adversas que afectan su patrimonio o disminuyen sus ingresos, mediante apoyos otorgados por su participación en proyectos o acciones de</w:t>
            </w:r>
            <w:r>
              <w:rPr>
                <w:rFonts w:ascii="Century" w:hAnsi="Century" w:cs="Arial"/>
                <w:sz w:val="20"/>
                <w:szCs w:val="20"/>
              </w:rPr>
              <w:t xml:space="preserve"> beneficio social o comunitario</w:t>
            </w:r>
            <w:r w:rsidR="0046653D">
              <w:rPr>
                <w:rFonts w:ascii="Century" w:hAnsi="Century" w:cs="Arial"/>
                <w:sz w:val="20"/>
                <w:szCs w:val="20"/>
              </w:rPr>
              <w:t>”</w:t>
            </w:r>
            <w:r>
              <w:rPr>
                <w:rFonts w:ascii="Century" w:hAnsi="Century" w:cs="Arial"/>
                <w:sz w:val="20"/>
                <w:szCs w:val="20"/>
              </w:rPr>
              <w:t xml:space="preserve">, al incrementar el porcentaje en el rubro de atención de reconstrucción, disminuiría el número de personas beneficiarias, </w:t>
            </w:r>
            <w:r w:rsidR="0046653D">
              <w:rPr>
                <w:rFonts w:ascii="Century" w:hAnsi="Century" w:cs="Arial"/>
                <w:sz w:val="20"/>
                <w:szCs w:val="20"/>
              </w:rPr>
              <w:t>situación que impactaría en el cumplimiento de metas y objetivos para el ejercicio 2015.</w:t>
            </w:r>
          </w:p>
          <w:p w:rsidR="0046653D" w:rsidRDefault="0046653D" w:rsidP="00F71D4C">
            <w:pPr>
              <w:jc w:val="both"/>
              <w:rPr>
                <w:rFonts w:ascii="Century" w:hAnsi="Century" w:cs="Arial"/>
                <w:sz w:val="20"/>
                <w:szCs w:val="20"/>
              </w:rPr>
            </w:pPr>
          </w:p>
          <w:p w:rsidR="0046653D" w:rsidRDefault="0046653D" w:rsidP="00F71D4C">
            <w:pPr>
              <w:jc w:val="both"/>
              <w:rPr>
                <w:rFonts w:ascii="Century" w:hAnsi="Century" w:cs="Arial"/>
                <w:sz w:val="20"/>
                <w:szCs w:val="20"/>
              </w:rPr>
            </w:pPr>
            <w:r>
              <w:rPr>
                <w:rFonts w:ascii="Century" w:hAnsi="Century" w:cs="Arial"/>
                <w:sz w:val="20"/>
                <w:szCs w:val="20"/>
              </w:rPr>
              <w:t>No obstante, se valorará la factibilidad de su inclusión en el ejercicio 2016.</w:t>
            </w:r>
          </w:p>
          <w:p w:rsidR="00F71D4C" w:rsidRPr="00F71D4C" w:rsidRDefault="00F71D4C" w:rsidP="00F71D4C">
            <w:pPr>
              <w:jc w:val="both"/>
              <w:rPr>
                <w:rFonts w:ascii="Century" w:hAnsi="Century" w:cs="Arial"/>
                <w:sz w:val="20"/>
                <w:szCs w:val="20"/>
              </w:rPr>
            </w:pPr>
          </w:p>
        </w:tc>
      </w:tr>
    </w:tbl>
    <w:p w:rsidR="008568CF" w:rsidRDefault="008568CF"/>
    <w:p w:rsidR="008568CF" w:rsidRDefault="008568CF"/>
    <w:sectPr w:rsidR="008568CF" w:rsidSect="009478D4">
      <w:headerReference w:type="default" r:id="rId12"/>
      <w:pgSz w:w="15840" w:h="12240" w:orient="landscape"/>
      <w:pgMar w:top="1510"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612" w:rsidRDefault="008F1612" w:rsidP="00E82F4A">
      <w:pPr>
        <w:spacing w:after="0" w:line="240" w:lineRule="auto"/>
      </w:pPr>
      <w:r>
        <w:separator/>
      </w:r>
    </w:p>
  </w:endnote>
  <w:endnote w:type="continuationSeparator" w:id="0">
    <w:p w:rsidR="008F1612" w:rsidRDefault="008F1612" w:rsidP="00E82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612" w:rsidRDefault="008F1612" w:rsidP="00E82F4A">
      <w:pPr>
        <w:spacing w:after="0" w:line="240" w:lineRule="auto"/>
      </w:pPr>
      <w:r>
        <w:separator/>
      </w:r>
    </w:p>
  </w:footnote>
  <w:footnote w:type="continuationSeparator" w:id="0">
    <w:p w:rsidR="008F1612" w:rsidRDefault="008F1612" w:rsidP="00E82F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F4A" w:rsidRDefault="00E82F4A" w:rsidP="00E82F4A">
    <w:pPr>
      <w:pStyle w:val="Encabezado"/>
      <w:jc w:val="right"/>
      <w:rPr>
        <w:rFonts w:ascii="Arial" w:hAnsi="Arial" w:cs="Arial"/>
        <w:b/>
        <w:bCs/>
        <w:noProof/>
        <w:sz w:val="20"/>
        <w:szCs w:val="20"/>
        <w:lang w:eastAsia="es-MX"/>
      </w:rPr>
    </w:pPr>
    <w:r w:rsidRPr="00D23533">
      <w:rPr>
        <w:rFonts w:ascii="Arial" w:hAnsi="Arial" w:cs="Arial"/>
        <w:b/>
        <w:bCs/>
        <w:noProof/>
        <w:sz w:val="20"/>
        <w:szCs w:val="20"/>
        <w:lang w:eastAsia="es-MX"/>
      </w:rPr>
      <w:drawing>
        <wp:anchor distT="0" distB="0" distL="114300" distR="114300" simplePos="0" relativeHeight="251659264" behindDoc="0" locked="0" layoutInCell="1" allowOverlap="1" wp14:anchorId="40234098" wp14:editId="2371CF01">
          <wp:simplePos x="0" y="0"/>
          <wp:positionH relativeFrom="column">
            <wp:posOffset>0</wp:posOffset>
          </wp:positionH>
          <wp:positionV relativeFrom="paragraph">
            <wp:posOffset>-157790</wp:posOffset>
          </wp:positionV>
          <wp:extent cx="2265775" cy="804382"/>
          <wp:effectExtent l="0" t="0" r="1270" b="0"/>
          <wp:wrapNone/>
          <wp:docPr id="3" name="Imagen 3" descr="Log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5775" cy="804382"/>
                  </a:xfrm>
                  <a:prstGeom prst="rect">
                    <a:avLst/>
                  </a:prstGeom>
                  <a:noFill/>
                  <a:ln>
                    <a:noFill/>
                  </a:ln>
                </pic:spPr>
              </pic:pic>
            </a:graphicData>
          </a:graphic>
        </wp:anchor>
      </w:drawing>
    </w:r>
    <w:r>
      <w:rPr>
        <w:rFonts w:ascii="Arial" w:hAnsi="Arial" w:cs="Arial"/>
        <w:b/>
        <w:bCs/>
      </w:rPr>
      <w:t>Subsecretarí</w:t>
    </w:r>
    <w:r w:rsidRPr="00D23533">
      <w:rPr>
        <w:rFonts w:ascii="Arial" w:hAnsi="Arial" w:cs="Arial"/>
        <w:b/>
        <w:bCs/>
      </w:rPr>
      <w:t>a de Infraestructura</w:t>
    </w:r>
  </w:p>
  <w:p w:rsidR="00E82F4A" w:rsidRDefault="00E82F4A" w:rsidP="00E82F4A">
    <w:pPr>
      <w:pStyle w:val="Encabezado"/>
      <w:jc w:val="right"/>
      <w:rPr>
        <w:rFonts w:ascii="Arial" w:hAnsi="Arial" w:cs="Arial"/>
        <w:b/>
        <w:bCs/>
        <w:noProof/>
        <w:sz w:val="20"/>
        <w:szCs w:val="20"/>
        <w:lang w:eastAsia="es-MX"/>
      </w:rPr>
    </w:pPr>
    <w:r w:rsidRPr="00D23533">
      <w:rPr>
        <w:rFonts w:ascii="Arial" w:hAnsi="Arial" w:cs="Arial"/>
        <w:b/>
        <w:bCs/>
      </w:rPr>
      <w:t>Dirección General de Carreteras</w:t>
    </w:r>
  </w:p>
  <w:p w:rsidR="00E82F4A" w:rsidRDefault="00E82F4A" w:rsidP="00E82F4A">
    <w:pPr>
      <w:pStyle w:val="Encabezado"/>
      <w:jc w:val="right"/>
      <w:rPr>
        <w:rFonts w:ascii="Arial" w:hAnsi="Arial" w:cs="Arial"/>
        <w:b/>
        <w:bCs/>
        <w:noProof/>
        <w:sz w:val="20"/>
        <w:szCs w:val="20"/>
        <w:lang w:eastAsia="es-MX"/>
      </w:rPr>
    </w:pPr>
    <w:r w:rsidRPr="00D23533">
      <w:rPr>
        <w:rFonts w:ascii="Arial" w:hAnsi="Arial" w:cs="Arial"/>
        <w:b/>
        <w:bCs/>
      </w:rPr>
      <w:t>Dirección General Adjunta del PET</w:t>
    </w:r>
    <w:r w:rsidRPr="00D23533">
      <w:rPr>
        <w:rFonts w:ascii="Arial" w:hAnsi="Arial" w:cs="Arial"/>
        <w:b/>
        <w:bCs/>
        <w:noProof/>
        <w:sz w:val="20"/>
        <w:szCs w:val="20"/>
        <w:lang w:eastAsia="es-MX"/>
      </w:rPr>
      <w:t xml:space="preserve"> </w:t>
    </w:r>
  </w:p>
  <w:p w:rsidR="009478D4" w:rsidRPr="005E04F1" w:rsidRDefault="009478D4" w:rsidP="009478D4">
    <w:pPr>
      <w:spacing w:after="0"/>
      <w:jc w:val="center"/>
      <w:rPr>
        <w:rFonts w:ascii="Century" w:hAnsi="Century"/>
        <w:b/>
        <w:sz w:val="20"/>
        <w:szCs w:val="20"/>
      </w:rPr>
    </w:pPr>
    <w:r>
      <w:rPr>
        <w:rFonts w:ascii="Century" w:hAnsi="Century"/>
        <w:b/>
        <w:sz w:val="20"/>
        <w:szCs w:val="20"/>
      </w:rPr>
      <w:t xml:space="preserve">Respuestas a las </w:t>
    </w:r>
    <w:r w:rsidRPr="005E04F1">
      <w:rPr>
        <w:rFonts w:ascii="Century" w:hAnsi="Century"/>
        <w:b/>
        <w:sz w:val="20"/>
        <w:szCs w:val="20"/>
      </w:rPr>
      <w:t>Propuestas derivadas del Ejercicio de Participación Ciudadana realizado por la</w:t>
    </w:r>
  </w:p>
  <w:p w:rsidR="009478D4" w:rsidRDefault="009478D4" w:rsidP="009478D4">
    <w:pPr>
      <w:spacing w:after="0"/>
      <w:jc w:val="center"/>
      <w:rPr>
        <w:rFonts w:ascii="Century" w:hAnsi="Century"/>
        <w:b/>
        <w:sz w:val="20"/>
        <w:szCs w:val="20"/>
      </w:rPr>
    </w:pPr>
    <w:r w:rsidRPr="005E04F1">
      <w:rPr>
        <w:rFonts w:ascii="Century" w:hAnsi="Century"/>
        <w:b/>
        <w:sz w:val="20"/>
        <w:szCs w:val="20"/>
      </w:rPr>
      <w:t xml:space="preserve"> Secretaría de Comunicaciones y Transportes</w:t>
    </w:r>
  </w:p>
  <w:p w:rsidR="009478D4" w:rsidRPr="005E04F1" w:rsidRDefault="009478D4" w:rsidP="009478D4">
    <w:pPr>
      <w:spacing w:after="0"/>
      <w:jc w:val="right"/>
      <w:rPr>
        <w:rFonts w:ascii="Century" w:hAnsi="Century"/>
        <w:b/>
        <w:sz w:val="20"/>
        <w:szCs w:val="20"/>
      </w:rPr>
    </w:pPr>
    <w:r>
      <w:rPr>
        <w:rFonts w:ascii="Century" w:hAnsi="Century"/>
        <w:b/>
        <w:sz w:val="20"/>
        <w:szCs w:val="20"/>
      </w:rPr>
      <w:t>5 de Noviembre 2014</w:t>
    </w:r>
  </w:p>
  <w:tbl>
    <w:tblPr>
      <w:tblStyle w:val="Tablaconcuadrcula"/>
      <w:tblW w:w="0" w:type="auto"/>
      <w:tblLook w:val="04A0" w:firstRow="1" w:lastRow="0" w:firstColumn="1" w:lastColumn="0" w:noHBand="0" w:noVBand="1"/>
    </w:tblPr>
    <w:tblGrid>
      <w:gridCol w:w="1980"/>
      <w:gridCol w:w="3451"/>
      <w:gridCol w:w="7565"/>
    </w:tblGrid>
    <w:tr w:rsidR="009478D4" w:rsidRPr="00CA0AE6" w:rsidTr="008568CF">
      <w:tc>
        <w:tcPr>
          <w:tcW w:w="1980" w:type="dxa"/>
          <w:shd w:val="clear" w:color="auto" w:fill="A6A6A6" w:themeFill="background1" w:themeFillShade="A6"/>
          <w:vAlign w:val="center"/>
        </w:tcPr>
        <w:p w:rsidR="009478D4" w:rsidRPr="00CA0AE6" w:rsidRDefault="00AF0F5D" w:rsidP="009478D4">
          <w:pPr>
            <w:jc w:val="center"/>
            <w:rPr>
              <w:rFonts w:ascii="Century" w:hAnsi="Century" w:cs="Arial"/>
              <w:b/>
              <w:sz w:val="20"/>
              <w:szCs w:val="20"/>
            </w:rPr>
          </w:pPr>
          <w:r>
            <w:rPr>
              <w:rFonts w:ascii="Century" w:hAnsi="Century" w:cs="Arial"/>
              <w:b/>
              <w:sz w:val="20"/>
              <w:szCs w:val="20"/>
            </w:rPr>
            <w:t>Acción</w:t>
          </w:r>
        </w:p>
      </w:tc>
      <w:tc>
        <w:tcPr>
          <w:tcW w:w="3451" w:type="dxa"/>
          <w:shd w:val="clear" w:color="auto" w:fill="A6A6A6" w:themeFill="background1" w:themeFillShade="A6"/>
          <w:vAlign w:val="center"/>
        </w:tcPr>
        <w:p w:rsidR="009478D4" w:rsidRPr="00CA0AE6" w:rsidRDefault="009478D4" w:rsidP="009478D4">
          <w:pPr>
            <w:jc w:val="center"/>
            <w:rPr>
              <w:rFonts w:ascii="Century" w:hAnsi="Century" w:cs="Arial"/>
              <w:b/>
              <w:sz w:val="20"/>
              <w:szCs w:val="20"/>
            </w:rPr>
          </w:pPr>
          <w:r w:rsidRPr="00CA0AE6">
            <w:rPr>
              <w:rFonts w:ascii="Century" w:hAnsi="Century" w:cs="Arial"/>
              <w:b/>
              <w:sz w:val="20"/>
              <w:szCs w:val="20"/>
            </w:rPr>
            <w:t>Propuesta</w:t>
          </w:r>
        </w:p>
      </w:tc>
      <w:tc>
        <w:tcPr>
          <w:tcW w:w="7565" w:type="dxa"/>
          <w:shd w:val="clear" w:color="auto" w:fill="A6A6A6" w:themeFill="background1" w:themeFillShade="A6"/>
          <w:vAlign w:val="center"/>
        </w:tcPr>
        <w:p w:rsidR="009478D4" w:rsidRPr="00CA0AE6" w:rsidRDefault="009478D4" w:rsidP="009478D4">
          <w:pPr>
            <w:jc w:val="center"/>
            <w:rPr>
              <w:rFonts w:ascii="Century" w:hAnsi="Century" w:cs="Arial"/>
              <w:b/>
              <w:sz w:val="20"/>
              <w:szCs w:val="20"/>
            </w:rPr>
          </w:pPr>
          <w:r w:rsidRPr="00CA0AE6">
            <w:rPr>
              <w:rFonts w:ascii="Century" w:hAnsi="Century" w:cs="Arial"/>
              <w:b/>
              <w:sz w:val="20"/>
              <w:szCs w:val="20"/>
            </w:rPr>
            <w:t>Respuestas</w:t>
          </w:r>
        </w:p>
      </w:tc>
    </w:tr>
  </w:tbl>
  <w:p w:rsidR="009478D4" w:rsidRPr="009478D4" w:rsidRDefault="009478D4" w:rsidP="009478D4">
    <w:pPr>
      <w:pStyle w:val="Encabezad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939D9"/>
    <w:multiLevelType w:val="hybridMultilevel"/>
    <w:tmpl w:val="50B21944"/>
    <w:lvl w:ilvl="0" w:tplc="B8A89E04">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4D5A00"/>
    <w:multiLevelType w:val="hybridMultilevel"/>
    <w:tmpl w:val="06E845CE"/>
    <w:lvl w:ilvl="0" w:tplc="C20E4D2A">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D8F676F"/>
    <w:multiLevelType w:val="hybridMultilevel"/>
    <w:tmpl w:val="A94C7DE2"/>
    <w:lvl w:ilvl="0" w:tplc="2DF0C87E">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6E1657C"/>
    <w:multiLevelType w:val="hybridMultilevel"/>
    <w:tmpl w:val="35B01EF8"/>
    <w:lvl w:ilvl="0" w:tplc="5BC06BD2">
      <w:start w:val="7"/>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5A60D2F"/>
    <w:multiLevelType w:val="hybridMultilevel"/>
    <w:tmpl w:val="BA1C50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9810214"/>
    <w:multiLevelType w:val="multilevel"/>
    <w:tmpl w:val="7F1CF8B4"/>
    <w:lvl w:ilvl="0">
      <w:start w:val="1"/>
      <w:numFmt w:val="decimal"/>
      <w:lvlText w:val="%1."/>
      <w:lvlJc w:val="left"/>
      <w:pPr>
        <w:tabs>
          <w:tab w:val="num" w:pos="720"/>
        </w:tabs>
        <w:ind w:left="720" w:hanging="360"/>
      </w:pPr>
      <w:rPr>
        <w:b/>
      </w:rPr>
    </w:lvl>
    <w:lvl w:ilvl="1">
      <w:start w:val="3"/>
      <w:numFmt w:val="decimal"/>
      <w:lvlText w:val="%2."/>
      <w:lvlJc w:val="left"/>
      <w:pPr>
        <w:ind w:left="1440" w:hanging="360"/>
      </w:pPr>
      <w:rPr>
        <w:rFonts w:cstheme="minorBidi"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6475E1"/>
    <w:multiLevelType w:val="hybridMultilevel"/>
    <w:tmpl w:val="38243828"/>
    <w:lvl w:ilvl="0" w:tplc="E9F8718C">
      <w:start w:val="4"/>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7AA5AC8"/>
    <w:multiLevelType w:val="hybridMultilevel"/>
    <w:tmpl w:val="0CD6C2AC"/>
    <w:lvl w:ilvl="0" w:tplc="2CE488EE">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99B2B8A"/>
    <w:multiLevelType w:val="hybridMultilevel"/>
    <w:tmpl w:val="1B4A2738"/>
    <w:lvl w:ilvl="0" w:tplc="3792302E">
      <w:start w:val="8"/>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1"/>
  </w:num>
  <w:num w:numId="6">
    <w:abstractNumId w:val="6"/>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0F4"/>
    <w:rsid w:val="00017DA3"/>
    <w:rsid w:val="000540F4"/>
    <w:rsid w:val="000572C9"/>
    <w:rsid w:val="000D6544"/>
    <w:rsid w:val="001A0CA1"/>
    <w:rsid w:val="001E50A1"/>
    <w:rsid w:val="002012CD"/>
    <w:rsid w:val="0026087E"/>
    <w:rsid w:val="002971BD"/>
    <w:rsid w:val="002D1244"/>
    <w:rsid w:val="002D4FF9"/>
    <w:rsid w:val="00325974"/>
    <w:rsid w:val="003B6C2D"/>
    <w:rsid w:val="00420DC5"/>
    <w:rsid w:val="00440C92"/>
    <w:rsid w:val="0046653D"/>
    <w:rsid w:val="00487900"/>
    <w:rsid w:val="00517845"/>
    <w:rsid w:val="005D588C"/>
    <w:rsid w:val="005E77D4"/>
    <w:rsid w:val="006D1F5F"/>
    <w:rsid w:val="007C04DD"/>
    <w:rsid w:val="007E1684"/>
    <w:rsid w:val="00827134"/>
    <w:rsid w:val="00844074"/>
    <w:rsid w:val="008568CF"/>
    <w:rsid w:val="008E278B"/>
    <w:rsid w:val="008F1612"/>
    <w:rsid w:val="00946D99"/>
    <w:rsid w:val="009478D4"/>
    <w:rsid w:val="0096525B"/>
    <w:rsid w:val="009A3FE0"/>
    <w:rsid w:val="00A17811"/>
    <w:rsid w:val="00A321B1"/>
    <w:rsid w:val="00AA7F2E"/>
    <w:rsid w:val="00AC2AB2"/>
    <w:rsid w:val="00AF0F5D"/>
    <w:rsid w:val="00B3011F"/>
    <w:rsid w:val="00B3483D"/>
    <w:rsid w:val="00B96594"/>
    <w:rsid w:val="00BD275B"/>
    <w:rsid w:val="00C63184"/>
    <w:rsid w:val="00C74F8A"/>
    <w:rsid w:val="00CA0AE6"/>
    <w:rsid w:val="00CD5B02"/>
    <w:rsid w:val="00CF2CA5"/>
    <w:rsid w:val="00D47244"/>
    <w:rsid w:val="00D50596"/>
    <w:rsid w:val="00D554AD"/>
    <w:rsid w:val="00DE6A6E"/>
    <w:rsid w:val="00E03845"/>
    <w:rsid w:val="00E82F4A"/>
    <w:rsid w:val="00F00DC9"/>
    <w:rsid w:val="00F05D91"/>
    <w:rsid w:val="00F5231E"/>
    <w:rsid w:val="00F71D4C"/>
    <w:rsid w:val="00F750C7"/>
    <w:rsid w:val="00F872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0631E5-5F00-4F28-AF41-244F8F22E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2F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82F4A"/>
  </w:style>
  <w:style w:type="paragraph" w:styleId="Piedepgina">
    <w:name w:val="footer"/>
    <w:basedOn w:val="Normal"/>
    <w:link w:val="PiedepginaCar"/>
    <w:uiPriority w:val="99"/>
    <w:unhideWhenUsed/>
    <w:rsid w:val="00E82F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82F4A"/>
  </w:style>
  <w:style w:type="table" w:styleId="Tablaconcuadrcula">
    <w:name w:val="Table Grid"/>
    <w:basedOn w:val="Tablanormal"/>
    <w:uiPriority w:val="39"/>
    <w:rsid w:val="00E82F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82F4A"/>
    <w:pPr>
      <w:spacing w:after="0" w:line="240" w:lineRule="auto"/>
      <w:ind w:left="720"/>
      <w:contextualSpacing/>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CA0AE6"/>
    <w:rPr>
      <w:color w:val="0563C1" w:themeColor="hyperlink"/>
      <w:u w:val="single"/>
    </w:rPr>
  </w:style>
  <w:style w:type="character" w:styleId="Hipervnculovisitado">
    <w:name w:val="FollowedHyperlink"/>
    <w:basedOn w:val="Fuentedeprrafopredeter"/>
    <w:uiPriority w:val="99"/>
    <w:semiHidden/>
    <w:unhideWhenUsed/>
    <w:rsid w:val="00CA0A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eval.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t.gob.mx" TargetMode="External"/><Relationship Id="rId5" Type="http://schemas.openxmlformats.org/officeDocument/2006/relationships/webSettings" Target="webSettings.xml"/><Relationship Id="rId10" Type="http://schemas.openxmlformats.org/officeDocument/2006/relationships/hyperlink" Target="http://www.sct.gob.mx" TargetMode="External"/><Relationship Id="rId4" Type="http://schemas.openxmlformats.org/officeDocument/2006/relationships/settings" Target="settings.xml"/><Relationship Id="rId9" Type="http://schemas.openxmlformats.org/officeDocument/2006/relationships/hyperlink" Target="http://www.dof.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59FBD-72BE-4BCA-9F30-3CB959548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4</Pages>
  <Words>1225</Words>
  <Characters>6743</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Pedro Robles Rodriguez</dc:creator>
  <cp:keywords/>
  <dc:description/>
  <cp:lastModifiedBy>Ericsson Pedro Robles Rodriguez</cp:lastModifiedBy>
  <cp:revision>8</cp:revision>
  <dcterms:created xsi:type="dcterms:W3CDTF">2014-12-03T20:17:00Z</dcterms:created>
  <dcterms:modified xsi:type="dcterms:W3CDTF">2014-12-04T21:34:00Z</dcterms:modified>
</cp:coreProperties>
</file>