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980"/>
        <w:gridCol w:w="3451"/>
        <w:gridCol w:w="7565"/>
      </w:tblGrid>
      <w:tr w:rsidR="0054570E" w:rsidRPr="00E021A5" w:rsidTr="00E021A5">
        <w:trPr>
          <w:trHeight w:val="1571"/>
        </w:trPr>
        <w:tc>
          <w:tcPr>
            <w:tcW w:w="1980" w:type="dxa"/>
            <w:vMerge w:val="restart"/>
            <w:vAlign w:val="center"/>
          </w:tcPr>
          <w:p w:rsidR="0054570E" w:rsidRPr="00E021A5" w:rsidRDefault="0054570E" w:rsidP="00844074">
            <w:pPr>
              <w:jc w:val="center"/>
              <w:rPr>
                <w:rFonts w:ascii="Soberana Sans" w:hAnsi="Soberana Sans" w:cs="Arial"/>
                <w:b/>
                <w:sz w:val="18"/>
                <w:szCs w:val="18"/>
              </w:rPr>
            </w:pPr>
            <w:r w:rsidRPr="00E021A5">
              <w:rPr>
                <w:rFonts w:ascii="Soberana Sans" w:hAnsi="Soberana Sans" w:cs="Arial"/>
                <w:b/>
                <w:sz w:val="18"/>
                <w:szCs w:val="18"/>
              </w:rPr>
              <w:t xml:space="preserve">Disposiciones normativas o de apoyo </w:t>
            </w:r>
          </w:p>
        </w:tc>
        <w:tc>
          <w:tcPr>
            <w:tcW w:w="3451" w:type="dxa"/>
            <w:vAlign w:val="center"/>
          </w:tcPr>
          <w:p w:rsidR="0054570E" w:rsidRPr="00E021A5" w:rsidRDefault="008E21B6" w:rsidP="00CA0AE6">
            <w:pPr>
              <w:pStyle w:val="Prrafodelista"/>
              <w:numPr>
                <w:ilvl w:val="0"/>
                <w:numId w:val="2"/>
              </w:numPr>
              <w:spacing w:line="259" w:lineRule="auto"/>
              <w:ind w:left="323"/>
              <w:jc w:val="both"/>
              <w:rPr>
                <w:rFonts w:ascii="Soberana Sans" w:hAnsi="Soberana Sans" w:cs="Arial"/>
                <w:sz w:val="18"/>
                <w:szCs w:val="18"/>
              </w:rPr>
            </w:pPr>
            <w:r w:rsidRPr="00E021A5">
              <w:rPr>
                <w:rFonts w:ascii="Soberana Sans" w:hAnsi="Soberana Sans" w:cs="Arial"/>
                <w:sz w:val="18"/>
                <w:szCs w:val="18"/>
              </w:rPr>
              <w:t>Homologación de la difusión y capacitación del Programa mediante la emisión de documentos normativos o de apoyo.</w:t>
            </w:r>
          </w:p>
        </w:tc>
        <w:tc>
          <w:tcPr>
            <w:tcW w:w="7565" w:type="dxa"/>
          </w:tcPr>
          <w:p w:rsidR="0054570E" w:rsidRPr="00E021A5" w:rsidRDefault="0054570E" w:rsidP="008568CF">
            <w:pPr>
              <w:jc w:val="both"/>
              <w:rPr>
                <w:rFonts w:ascii="Soberana Sans" w:hAnsi="Soberana Sans" w:cs="Arial"/>
                <w:b/>
                <w:sz w:val="18"/>
                <w:szCs w:val="18"/>
              </w:rPr>
            </w:pPr>
            <w:r w:rsidRPr="00E021A5">
              <w:rPr>
                <w:rFonts w:ascii="Soberana Sans" w:hAnsi="Soberana Sans" w:cs="Arial"/>
                <w:b/>
                <w:sz w:val="18"/>
                <w:szCs w:val="18"/>
              </w:rPr>
              <w:t>Se suscribe la propuesta</w:t>
            </w:r>
          </w:p>
          <w:p w:rsidR="0054570E" w:rsidRPr="00E021A5" w:rsidRDefault="0054570E" w:rsidP="008568CF">
            <w:pPr>
              <w:jc w:val="both"/>
              <w:rPr>
                <w:rFonts w:ascii="Soberana Sans" w:hAnsi="Soberana Sans" w:cs="Arial"/>
                <w:sz w:val="18"/>
                <w:szCs w:val="18"/>
              </w:rPr>
            </w:pPr>
            <w:r w:rsidRPr="00E021A5">
              <w:rPr>
                <w:rFonts w:ascii="Soberana Sans" w:hAnsi="Soberana Sans" w:cs="Arial"/>
                <w:sz w:val="18"/>
                <w:szCs w:val="18"/>
              </w:rPr>
              <w:t xml:space="preserve">Se fortalecerá la homologación de la </w:t>
            </w:r>
            <w:r w:rsidR="0021455F" w:rsidRPr="00E021A5">
              <w:rPr>
                <w:rFonts w:ascii="Soberana Sans" w:hAnsi="Soberana Sans" w:cs="Arial"/>
                <w:sz w:val="18"/>
                <w:szCs w:val="18"/>
              </w:rPr>
              <w:t xml:space="preserve">difusión </w:t>
            </w:r>
            <w:r w:rsidRPr="00E021A5">
              <w:rPr>
                <w:rFonts w:ascii="Soberana Sans" w:hAnsi="Soberana Sans" w:cs="Arial"/>
                <w:sz w:val="18"/>
                <w:szCs w:val="18"/>
              </w:rPr>
              <w:t xml:space="preserve">y capacitación del programa en los Lineamientos Operativos del PET 2016, así como en los Instructivos de Promoción y de Supervisión, los cuales se publicarán </w:t>
            </w:r>
            <w:r w:rsidR="00500FDB" w:rsidRPr="00E021A5">
              <w:rPr>
                <w:rFonts w:ascii="Soberana Sans" w:hAnsi="Soberana Sans" w:cs="Arial"/>
                <w:sz w:val="18"/>
                <w:szCs w:val="18"/>
              </w:rPr>
              <w:t>45</w:t>
            </w:r>
            <w:r w:rsidRPr="00E021A5">
              <w:rPr>
                <w:rFonts w:ascii="Soberana Sans" w:hAnsi="Soberana Sans" w:cs="Arial"/>
                <w:sz w:val="18"/>
                <w:szCs w:val="18"/>
              </w:rPr>
              <w:t xml:space="preserve"> días </w:t>
            </w:r>
            <w:r w:rsidR="00500FDB" w:rsidRPr="00E021A5">
              <w:rPr>
                <w:rFonts w:ascii="Soberana Sans" w:hAnsi="Soberana Sans" w:cs="Arial"/>
                <w:sz w:val="18"/>
                <w:szCs w:val="18"/>
              </w:rPr>
              <w:t xml:space="preserve">hábiles </w:t>
            </w:r>
            <w:r w:rsidRPr="00E021A5">
              <w:rPr>
                <w:rFonts w:ascii="Soberana Sans" w:hAnsi="Soberana Sans" w:cs="Arial"/>
                <w:sz w:val="18"/>
                <w:szCs w:val="18"/>
              </w:rPr>
              <w:t>siguientes a la publicación de las Reglas de Operación del PET 2016.</w:t>
            </w:r>
          </w:p>
          <w:p w:rsidR="0054570E" w:rsidRPr="00E021A5" w:rsidRDefault="0054570E" w:rsidP="0054570E">
            <w:pPr>
              <w:spacing w:after="345"/>
              <w:jc w:val="both"/>
              <w:rPr>
                <w:rFonts w:ascii="Soberana Sans" w:hAnsi="Soberana Sans" w:cs="Arial"/>
                <w:b/>
                <w:sz w:val="18"/>
                <w:szCs w:val="18"/>
              </w:rPr>
            </w:pPr>
            <w:r w:rsidRPr="00E021A5">
              <w:rPr>
                <w:rFonts w:ascii="Soberana Sans" w:hAnsi="Soberana Sans" w:cs="Arial"/>
                <w:sz w:val="18"/>
                <w:szCs w:val="18"/>
              </w:rPr>
              <w:t>Dichas disposiciones se publicarán en el Portal WEB de la SCT.</w:t>
            </w:r>
          </w:p>
        </w:tc>
      </w:tr>
      <w:tr w:rsidR="0054570E" w:rsidRPr="00E021A5" w:rsidTr="00E021A5">
        <w:trPr>
          <w:trHeight w:val="1753"/>
        </w:trPr>
        <w:tc>
          <w:tcPr>
            <w:tcW w:w="1980" w:type="dxa"/>
            <w:vMerge/>
          </w:tcPr>
          <w:p w:rsidR="0054570E" w:rsidRPr="00E021A5" w:rsidRDefault="0054570E" w:rsidP="008568CF">
            <w:pPr>
              <w:jc w:val="center"/>
              <w:rPr>
                <w:rFonts w:ascii="Soberana Sans" w:hAnsi="Soberana Sans" w:cs="Arial"/>
                <w:b/>
                <w:sz w:val="18"/>
                <w:szCs w:val="18"/>
              </w:rPr>
            </w:pPr>
          </w:p>
        </w:tc>
        <w:tc>
          <w:tcPr>
            <w:tcW w:w="3451" w:type="dxa"/>
            <w:vAlign w:val="center"/>
          </w:tcPr>
          <w:p w:rsidR="0054570E" w:rsidRPr="00E021A5" w:rsidRDefault="0054570E" w:rsidP="00500FDB">
            <w:pPr>
              <w:pStyle w:val="Prrafodelista"/>
              <w:numPr>
                <w:ilvl w:val="0"/>
                <w:numId w:val="2"/>
              </w:numPr>
              <w:spacing w:line="259" w:lineRule="auto"/>
              <w:ind w:left="323"/>
              <w:jc w:val="both"/>
              <w:rPr>
                <w:rFonts w:ascii="Soberana Sans" w:hAnsi="Soberana Sans" w:cs="Arial"/>
                <w:sz w:val="18"/>
                <w:szCs w:val="18"/>
              </w:rPr>
            </w:pPr>
            <w:r w:rsidRPr="00E021A5">
              <w:rPr>
                <w:rFonts w:ascii="Soberana Sans" w:hAnsi="Soberana Sans" w:cs="Arial"/>
                <w:sz w:val="18"/>
                <w:szCs w:val="18"/>
              </w:rPr>
              <w:t xml:space="preserve">Homologación de la difusión y capacitación </w:t>
            </w:r>
            <w:r w:rsidR="00500FDB" w:rsidRPr="00E021A5">
              <w:rPr>
                <w:rFonts w:ascii="Soberana Sans" w:hAnsi="Soberana Sans" w:cs="Arial"/>
                <w:sz w:val="18"/>
                <w:szCs w:val="18"/>
              </w:rPr>
              <w:t xml:space="preserve">de </w:t>
            </w:r>
            <w:r w:rsidRPr="00E021A5">
              <w:rPr>
                <w:rFonts w:ascii="Soberana Sans" w:hAnsi="Soberana Sans" w:cs="Arial"/>
                <w:sz w:val="18"/>
                <w:szCs w:val="18"/>
              </w:rPr>
              <w:t xml:space="preserve">actividades de contraloría </w:t>
            </w:r>
            <w:r w:rsidR="00500FDB" w:rsidRPr="00E021A5">
              <w:rPr>
                <w:rFonts w:ascii="Soberana Sans" w:hAnsi="Soberana Sans" w:cs="Arial"/>
                <w:sz w:val="18"/>
                <w:szCs w:val="18"/>
              </w:rPr>
              <w:t>social mediante la emisión de documentos normativos o de apoyo.</w:t>
            </w:r>
          </w:p>
        </w:tc>
        <w:tc>
          <w:tcPr>
            <w:tcW w:w="7565" w:type="dxa"/>
          </w:tcPr>
          <w:p w:rsidR="0054570E" w:rsidRPr="00E021A5" w:rsidRDefault="0054570E" w:rsidP="00CA0AE6">
            <w:pPr>
              <w:jc w:val="both"/>
              <w:rPr>
                <w:rFonts w:ascii="Soberana Sans" w:hAnsi="Soberana Sans" w:cs="Arial"/>
                <w:b/>
                <w:sz w:val="18"/>
                <w:szCs w:val="18"/>
              </w:rPr>
            </w:pPr>
            <w:r w:rsidRPr="00E021A5">
              <w:rPr>
                <w:rFonts w:ascii="Soberana Sans" w:hAnsi="Soberana Sans" w:cs="Arial"/>
                <w:b/>
                <w:sz w:val="18"/>
                <w:szCs w:val="18"/>
              </w:rPr>
              <w:t>Se suscribe la propuesta</w:t>
            </w:r>
          </w:p>
          <w:p w:rsidR="0054570E" w:rsidRPr="00E021A5" w:rsidRDefault="0054570E" w:rsidP="0054570E">
            <w:pPr>
              <w:jc w:val="both"/>
              <w:rPr>
                <w:rFonts w:ascii="Soberana Sans" w:hAnsi="Soberana Sans" w:cs="Arial"/>
                <w:sz w:val="18"/>
                <w:szCs w:val="18"/>
              </w:rPr>
            </w:pPr>
            <w:r w:rsidRPr="00E021A5">
              <w:rPr>
                <w:rFonts w:ascii="Soberana Sans" w:hAnsi="Soberana Sans" w:cs="Arial"/>
                <w:sz w:val="18"/>
                <w:szCs w:val="18"/>
              </w:rPr>
              <w:t xml:space="preserve">Se fortalecerá la homologación de la difusión y capacitación en las actividades de contraloría social en el Instructivo de Promoción y se elaborará una Guía de Promoción, los cuales se publicarán dentro de los 45 días </w:t>
            </w:r>
            <w:r w:rsidR="00500FDB" w:rsidRPr="00E021A5">
              <w:rPr>
                <w:rFonts w:ascii="Soberana Sans" w:hAnsi="Soberana Sans" w:cs="Arial"/>
                <w:sz w:val="18"/>
                <w:szCs w:val="18"/>
              </w:rPr>
              <w:t>hábiles</w:t>
            </w:r>
            <w:r w:rsidRPr="00E021A5">
              <w:rPr>
                <w:rFonts w:ascii="Soberana Sans" w:hAnsi="Soberana Sans" w:cs="Arial"/>
                <w:sz w:val="18"/>
                <w:szCs w:val="18"/>
              </w:rPr>
              <w:t xml:space="preserve"> siguientes a la publicación de las Reglas de Operación del PET 2016.</w:t>
            </w:r>
          </w:p>
          <w:p w:rsidR="0054570E" w:rsidRPr="00E021A5" w:rsidRDefault="0054570E" w:rsidP="0054570E">
            <w:pPr>
              <w:jc w:val="both"/>
              <w:rPr>
                <w:rFonts w:ascii="Soberana Sans" w:hAnsi="Soberana Sans" w:cs="Arial"/>
                <w:sz w:val="18"/>
                <w:szCs w:val="18"/>
              </w:rPr>
            </w:pPr>
            <w:r w:rsidRPr="00E021A5">
              <w:rPr>
                <w:rFonts w:ascii="Soberana Sans" w:hAnsi="Soberana Sans" w:cs="Arial"/>
                <w:sz w:val="18"/>
                <w:szCs w:val="18"/>
              </w:rPr>
              <w:t>Dichas disposiciones se publicarán en el Portal WEB de la SCT.</w:t>
            </w:r>
          </w:p>
          <w:p w:rsidR="0054570E" w:rsidRPr="00E021A5" w:rsidRDefault="0054570E" w:rsidP="0054570E">
            <w:pPr>
              <w:ind w:right="-93"/>
              <w:jc w:val="both"/>
              <w:rPr>
                <w:rFonts w:ascii="Soberana Sans" w:hAnsi="Soberana Sans" w:cs="Arial"/>
                <w:sz w:val="18"/>
                <w:szCs w:val="18"/>
              </w:rPr>
            </w:pPr>
          </w:p>
        </w:tc>
      </w:tr>
      <w:tr w:rsidR="0054570E" w:rsidRPr="00E021A5" w:rsidTr="00E021A5">
        <w:trPr>
          <w:trHeight w:val="2278"/>
        </w:trPr>
        <w:tc>
          <w:tcPr>
            <w:tcW w:w="1980" w:type="dxa"/>
            <w:vMerge/>
          </w:tcPr>
          <w:p w:rsidR="0054570E" w:rsidRPr="00E021A5" w:rsidRDefault="0054570E" w:rsidP="008568CF">
            <w:pPr>
              <w:jc w:val="center"/>
              <w:rPr>
                <w:rFonts w:ascii="Soberana Sans" w:hAnsi="Soberana Sans" w:cs="Arial"/>
                <w:b/>
                <w:sz w:val="18"/>
                <w:szCs w:val="18"/>
              </w:rPr>
            </w:pPr>
          </w:p>
        </w:tc>
        <w:tc>
          <w:tcPr>
            <w:tcW w:w="3451" w:type="dxa"/>
            <w:vAlign w:val="center"/>
          </w:tcPr>
          <w:p w:rsidR="0054570E" w:rsidRPr="00E021A5" w:rsidRDefault="002D1051" w:rsidP="002D1051">
            <w:pPr>
              <w:pStyle w:val="Prrafodelista"/>
              <w:numPr>
                <w:ilvl w:val="0"/>
                <w:numId w:val="2"/>
              </w:numPr>
              <w:spacing w:line="259" w:lineRule="auto"/>
              <w:ind w:left="323"/>
              <w:jc w:val="both"/>
              <w:rPr>
                <w:rFonts w:ascii="Soberana Sans" w:hAnsi="Soberana Sans" w:cs="Arial"/>
                <w:sz w:val="18"/>
                <w:szCs w:val="18"/>
              </w:rPr>
            </w:pPr>
            <w:r w:rsidRPr="00E021A5">
              <w:rPr>
                <w:rFonts w:ascii="Soberana Sans" w:hAnsi="Soberana Sans" w:cs="Arial"/>
                <w:sz w:val="18"/>
                <w:szCs w:val="18"/>
              </w:rPr>
              <w:t xml:space="preserve">Una compensación económica a los beneficiarios que participan en las actividades de contraloría social, similar a la que perciben las gestoras y gestores voluntarios que participan en la Red Social de SEDESOL.  </w:t>
            </w:r>
          </w:p>
        </w:tc>
        <w:tc>
          <w:tcPr>
            <w:tcW w:w="7565" w:type="dxa"/>
          </w:tcPr>
          <w:p w:rsidR="00EB003F" w:rsidRPr="00E021A5" w:rsidRDefault="00EB003F" w:rsidP="00CA0AE6">
            <w:pPr>
              <w:jc w:val="both"/>
              <w:rPr>
                <w:rFonts w:ascii="Soberana Sans" w:hAnsi="Soberana Sans" w:cs="Arial"/>
                <w:b/>
                <w:sz w:val="18"/>
                <w:szCs w:val="18"/>
              </w:rPr>
            </w:pPr>
            <w:r w:rsidRPr="00E021A5">
              <w:rPr>
                <w:rFonts w:ascii="Soberana Sans" w:hAnsi="Soberana Sans" w:cs="Arial"/>
                <w:b/>
                <w:sz w:val="18"/>
                <w:szCs w:val="18"/>
              </w:rPr>
              <w:t xml:space="preserve">Se suscribe la propuesta parcialmente </w:t>
            </w:r>
          </w:p>
          <w:p w:rsidR="0054570E" w:rsidRPr="00E021A5" w:rsidRDefault="00EB003F" w:rsidP="00CA0AE6">
            <w:pPr>
              <w:jc w:val="both"/>
              <w:rPr>
                <w:rFonts w:ascii="Soberana Sans" w:hAnsi="Soberana Sans" w:cs="Arial"/>
                <w:sz w:val="18"/>
                <w:szCs w:val="18"/>
              </w:rPr>
            </w:pPr>
            <w:r w:rsidRPr="00E021A5">
              <w:rPr>
                <w:rFonts w:ascii="Soberana Sans" w:hAnsi="Soberana Sans" w:cs="Arial"/>
                <w:sz w:val="18"/>
                <w:szCs w:val="18"/>
              </w:rPr>
              <w:t xml:space="preserve">Se presentará la propuesta de la compensación económica para aquellos beneficiarios que participen en actividades de contraloría social, de acuerdo a la meta establecida en el Programa Anual de Trabajo de Contraloría Social, ante el Grupo Permanente de Trabajo para su incorporación en las Reglas de Operación del Programa de Empleo Temporal </w:t>
            </w:r>
            <w:r w:rsidR="0005444B" w:rsidRPr="00E021A5">
              <w:rPr>
                <w:rFonts w:ascii="Soberana Sans" w:hAnsi="Soberana Sans" w:cs="Arial"/>
                <w:sz w:val="18"/>
                <w:szCs w:val="18"/>
              </w:rPr>
              <w:t>2017 o</w:t>
            </w:r>
            <w:r w:rsidR="008F7FFB" w:rsidRPr="00E021A5">
              <w:rPr>
                <w:rFonts w:ascii="Soberana Sans" w:hAnsi="Soberana Sans" w:cs="Arial"/>
                <w:sz w:val="18"/>
                <w:szCs w:val="18"/>
              </w:rPr>
              <w:t>,</w:t>
            </w:r>
            <w:r w:rsidR="0005444B" w:rsidRPr="00E021A5">
              <w:rPr>
                <w:rFonts w:ascii="Soberana Sans" w:hAnsi="Soberana Sans" w:cs="Arial"/>
                <w:sz w:val="18"/>
                <w:szCs w:val="18"/>
              </w:rPr>
              <w:t xml:space="preserve"> en su</w:t>
            </w:r>
            <w:r w:rsidR="008F7FFB" w:rsidRPr="00E021A5">
              <w:rPr>
                <w:rFonts w:ascii="Soberana Sans" w:hAnsi="Soberana Sans" w:cs="Arial"/>
                <w:sz w:val="18"/>
                <w:szCs w:val="18"/>
              </w:rPr>
              <w:t xml:space="preserve"> caso, </w:t>
            </w:r>
            <w:r w:rsidR="0005444B" w:rsidRPr="00E021A5">
              <w:rPr>
                <w:rFonts w:ascii="Soberana Sans" w:hAnsi="Soberana Sans" w:cs="Arial"/>
                <w:sz w:val="18"/>
                <w:szCs w:val="18"/>
              </w:rPr>
              <w:t xml:space="preserve">se analizará la factibilidad </w:t>
            </w:r>
            <w:r w:rsidR="008F7FFB" w:rsidRPr="00E021A5">
              <w:rPr>
                <w:rFonts w:ascii="Soberana Sans" w:hAnsi="Soberana Sans" w:cs="Arial"/>
                <w:sz w:val="18"/>
                <w:szCs w:val="18"/>
              </w:rPr>
              <w:t xml:space="preserve">por parte de la Instancia Normativa  de la SCT para </w:t>
            </w:r>
            <w:r w:rsidR="0005444B" w:rsidRPr="00E021A5">
              <w:rPr>
                <w:rFonts w:ascii="Soberana Sans" w:hAnsi="Soberana Sans" w:cs="Arial"/>
                <w:sz w:val="18"/>
                <w:szCs w:val="18"/>
              </w:rPr>
              <w:t>realizar la compensación en el ejercicio 2016</w:t>
            </w:r>
            <w:r w:rsidR="008F7FFB" w:rsidRPr="00E021A5">
              <w:rPr>
                <w:rFonts w:ascii="Soberana Sans" w:hAnsi="Soberana Sans" w:cs="Arial"/>
                <w:sz w:val="18"/>
                <w:szCs w:val="18"/>
              </w:rPr>
              <w:t xml:space="preserve">, siempre y cuando así lo resuelva </w:t>
            </w:r>
            <w:r w:rsidR="0005444B" w:rsidRPr="00E021A5">
              <w:rPr>
                <w:rFonts w:ascii="Soberana Sans" w:hAnsi="Soberana Sans" w:cs="Arial"/>
                <w:sz w:val="18"/>
                <w:szCs w:val="18"/>
              </w:rPr>
              <w:t>el Comité Técnico.</w:t>
            </w:r>
          </w:p>
          <w:p w:rsidR="00EB003F" w:rsidRPr="00E021A5" w:rsidRDefault="009E0446" w:rsidP="009E0446">
            <w:pPr>
              <w:jc w:val="both"/>
              <w:rPr>
                <w:rFonts w:ascii="Soberana Sans" w:hAnsi="Soberana Sans" w:cs="Arial"/>
                <w:sz w:val="18"/>
                <w:szCs w:val="18"/>
              </w:rPr>
            </w:pPr>
            <w:r w:rsidRPr="00E021A5">
              <w:rPr>
                <w:rFonts w:ascii="Soberana Sans" w:hAnsi="Soberana Sans" w:cs="Arial"/>
                <w:sz w:val="18"/>
                <w:szCs w:val="18"/>
              </w:rPr>
              <w:t>Se presentará la propuesta y el análisis de factibilidad durante el primer trimestre de 2016.</w:t>
            </w:r>
          </w:p>
        </w:tc>
      </w:tr>
      <w:tr w:rsidR="00AE12C3" w:rsidRPr="00E021A5" w:rsidTr="00E021A5">
        <w:trPr>
          <w:trHeight w:val="2563"/>
        </w:trPr>
        <w:tc>
          <w:tcPr>
            <w:tcW w:w="1980" w:type="dxa"/>
            <w:vAlign w:val="center"/>
          </w:tcPr>
          <w:p w:rsidR="00AE12C3" w:rsidRPr="00E021A5" w:rsidRDefault="00AE12C3" w:rsidP="00F5231E">
            <w:pPr>
              <w:jc w:val="center"/>
              <w:rPr>
                <w:rFonts w:ascii="Soberana Sans" w:hAnsi="Soberana Sans" w:cs="Arial"/>
                <w:b/>
                <w:sz w:val="18"/>
                <w:szCs w:val="18"/>
              </w:rPr>
            </w:pPr>
            <w:r w:rsidRPr="00E021A5">
              <w:rPr>
                <w:rFonts w:ascii="Soberana Sans" w:hAnsi="Soberana Sans" w:cs="Arial"/>
                <w:b/>
                <w:sz w:val="18"/>
                <w:szCs w:val="18"/>
              </w:rPr>
              <w:t>Proceso</w:t>
            </w:r>
          </w:p>
        </w:tc>
        <w:tc>
          <w:tcPr>
            <w:tcW w:w="3451" w:type="dxa"/>
            <w:vAlign w:val="center"/>
          </w:tcPr>
          <w:p w:rsidR="00AE12C3" w:rsidRPr="00E021A5" w:rsidRDefault="00AE12C3" w:rsidP="0076589C">
            <w:pPr>
              <w:pStyle w:val="Prrafodelista"/>
              <w:numPr>
                <w:ilvl w:val="0"/>
                <w:numId w:val="2"/>
              </w:numPr>
              <w:ind w:left="317"/>
              <w:jc w:val="both"/>
              <w:rPr>
                <w:rFonts w:ascii="Soberana Sans" w:hAnsi="Soberana Sans" w:cs="Arial"/>
                <w:sz w:val="18"/>
                <w:szCs w:val="18"/>
              </w:rPr>
            </w:pPr>
            <w:r w:rsidRPr="00E021A5">
              <w:rPr>
                <w:rFonts w:ascii="Soberana Sans" w:hAnsi="Soberana Sans" w:cs="Arial"/>
                <w:sz w:val="18"/>
                <w:szCs w:val="18"/>
              </w:rPr>
              <w:t>Que el CIPET sea una herramienta fiable de información consistente para los ciudadanos toda vez que no se identifica actualización de la información desde 2014.</w:t>
            </w:r>
          </w:p>
        </w:tc>
        <w:tc>
          <w:tcPr>
            <w:tcW w:w="7565" w:type="dxa"/>
          </w:tcPr>
          <w:p w:rsidR="00AE12C3" w:rsidRPr="00E021A5" w:rsidRDefault="00AE12C3" w:rsidP="00F5231E">
            <w:pPr>
              <w:jc w:val="both"/>
              <w:rPr>
                <w:rFonts w:ascii="Soberana Sans" w:hAnsi="Soberana Sans" w:cs="Arial"/>
                <w:b/>
                <w:sz w:val="18"/>
                <w:szCs w:val="18"/>
              </w:rPr>
            </w:pPr>
            <w:r w:rsidRPr="00E021A5">
              <w:rPr>
                <w:rFonts w:ascii="Soberana Sans" w:hAnsi="Soberana Sans" w:cs="Arial"/>
                <w:b/>
                <w:sz w:val="18"/>
                <w:szCs w:val="18"/>
              </w:rPr>
              <w:t>Se suscribe la propuesta</w:t>
            </w:r>
          </w:p>
          <w:p w:rsidR="00AE12C3" w:rsidRPr="00E021A5" w:rsidRDefault="00AE12C3" w:rsidP="009E0446">
            <w:pPr>
              <w:jc w:val="both"/>
              <w:rPr>
                <w:rFonts w:ascii="Soberana Sans" w:hAnsi="Soberana Sans" w:cs="Arial"/>
                <w:sz w:val="18"/>
                <w:szCs w:val="18"/>
              </w:rPr>
            </w:pPr>
            <w:r w:rsidRPr="00E021A5">
              <w:rPr>
                <w:rFonts w:ascii="Soberana Sans" w:hAnsi="Soberana Sans" w:cs="Arial"/>
                <w:sz w:val="18"/>
                <w:szCs w:val="18"/>
              </w:rPr>
              <w:t>Para dar cumplimiento a lo establecido en el numeral 4.2  Proceso de Operación, inciso i) Centro de Información del PET, de las Reglas de Operación del Programa de Empleo Temporal 2016, la SCT solicitará a la SEDESOL como coordinadora del CIPET agilizar la integración y actualización de forma mensual sobre la información relativa al padrón de beneficiarios remitida por la DGAPET.</w:t>
            </w:r>
          </w:p>
          <w:p w:rsidR="00AE12C3" w:rsidRPr="00E021A5" w:rsidRDefault="00AE12C3" w:rsidP="009E0446">
            <w:pPr>
              <w:jc w:val="both"/>
              <w:rPr>
                <w:rFonts w:ascii="Soberana Sans" w:hAnsi="Soberana Sans" w:cs="Arial"/>
                <w:sz w:val="18"/>
                <w:szCs w:val="18"/>
              </w:rPr>
            </w:pPr>
          </w:p>
          <w:p w:rsidR="00AE12C3" w:rsidRPr="00E021A5" w:rsidRDefault="00AE12C3" w:rsidP="00AE12C3">
            <w:pPr>
              <w:jc w:val="both"/>
              <w:rPr>
                <w:rFonts w:ascii="Soberana Sans" w:hAnsi="Soberana Sans" w:cs="Arial"/>
                <w:sz w:val="18"/>
                <w:szCs w:val="18"/>
              </w:rPr>
            </w:pPr>
            <w:r w:rsidRPr="00E021A5">
              <w:rPr>
                <w:rFonts w:ascii="Soberana Sans" w:hAnsi="Soberana Sans" w:cs="Arial"/>
                <w:sz w:val="18"/>
                <w:szCs w:val="18"/>
              </w:rPr>
              <w:t xml:space="preserve">Se enviará Oficio relativo al tema durante el mes de enero de 2016. </w:t>
            </w:r>
          </w:p>
        </w:tc>
      </w:tr>
      <w:tr w:rsidR="00E021A5" w:rsidRPr="00E021A5" w:rsidTr="00E021A5">
        <w:trPr>
          <w:trHeight w:val="1311"/>
        </w:trPr>
        <w:tc>
          <w:tcPr>
            <w:tcW w:w="1980" w:type="dxa"/>
            <w:vMerge w:val="restart"/>
            <w:vAlign w:val="center"/>
          </w:tcPr>
          <w:p w:rsidR="00E021A5" w:rsidRPr="00E021A5" w:rsidRDefault="00E021A5" w:rsidP="00F5231E">
            <w:pPr>
              <w:jc w:val="center"/>
              <w:rPr>
                <w:rFonts w:ascii="Soberana Sans" w:hAnsi="Soberana Sans" w:cs="Arial"/>
                <w:b/>
                <w:sz w:val="18"/>
                <w:szCs w:val="18"/>
              </w:rPr>
            </w:pPr>
            <w:r w:rsidRPr="00E021A5">
              <w:rPr>
                <w:rFonts w:ascii="Soberana Sans" w:hAnsi="Soberana Sans" w:cs="Arial"/>
                <w:b/>
                <w:sz w:val="18"/>
                <w:szCs w:val="18"/>
              </w:rPr>
              <w:lastRenderedPageBreak/>
              <w:t>Transparencia</w:t>
            </w:r>
          </w:p>
        </w:tc>
        <w:tc>
          <w:tcPr>
            <w:tcW w:w="3451" w:type="dxa"/>
            <w:vAlign w:val="center"/>
          </w:tcPr>
          <w:p w:rsidR="00E021A5" w:rsidRPr="00E021A5" w:rsidRDefault="00E021A5" w:rsidP="00AE12C3">
            <w:pPr>
              <w:pStyle w:val="Prrafodelista"/>
              <w:numPr>
                <w:ilvl w:val="0"/>
                <w:numId w:val="2"/>
              </w:numPr>
              <w:ind w:left="317"/>
              <w:jc w:val="both"/>
              <w:rPr>
                <w:rFonts w:ascii="Soberana Sans" w:hAnsi="Soberana Sans" w:cs="Arial"/>
                <w:sz w:val="18"/>
                <w:szCs w:val="18"/>
              </w:rPr>
            </w:pPr>
            <w:r w:rsidRPr="00E021A5">
              <w:rPr>
                <w:rFonts w:ascii="Soberana Sans" w:hAnsi="Soberana Sans" w:cs="Arial"/>
                <w:sz w:val="18"/>
                <w:szCs w:val="18"/>
              </w:rPr>
              <w:t>Consistencia entre las distintas fuentes de información, léase CIPET, el portal Web de la SCT y el portal de obligaciones de transparencia de la SCT.</w:t>
            </w:r>
          </w:p>
        </w:tc>
        <w:tc>
          <w:tcPr>
            <w:tcW w:w="7565" w:type="dxa"/>
          </w:tcPr>
          <w:p w:rsidR="00E021A5" w:rsidRPr="00E021A5" w:rsidRDefault="00E021A5" w:rsidP="006D1F5F">
            <w:pPr>
              <w:jc w:val="both"/>
              <w:rPr>
                <w:rFonts w:ascii="Soberana Sans" w:hAnsi="Soberana Sans" w:cs="Arial"/>
                <w:b/>
                <w:sz w:val="18"/>
                <w:szCs w:val="18"/>
              </w:rPr>
            </w:pPr>
            <w:r w:rsidRPr="00E021A5">
              <w:rPr>
                <w:rFonts w:ascii="Soberana Sans" w:hAnsi="Soberana Sans" w:cs="Arial"/>
                <w:b/>
                <w:sz w:val="18"/>
                <w:szCs w:val="18"/>
              </w:rPr>
              <w:t>Se suscribe la propuesta</w:t>
            </w:r>
          </w:p>
          <w:p w:rsidR="00E021A5" w:rsidRPr="00E021A5" w:rsidRDefault="00E021A5" w:rsidP="00AE12C3">
            <w:pPr>
              <w:jc w:val="both"/>
              <w:rPr>
                <w:rFonts w:ascii="Soberana Sans" w:hAnsi="Soberana Sans" w:cs="Arial"/>
                <w:sz w:val="18"/>
                <w:szCs w:val="18"/>
              </w:rPr>
            </w:pPr>
            <w:r w:rsidRPr="00E021A5">
              <w:rPr>
                <w:rFonts w:ascii="Soberana Sans" w:hAnsi="Soberana Sans" w:cs="Arial"/>
                <w:sz w:val="18"/>
                <w:szCs w:val="18"/>
              </w:rPr>
              <w:t>La Instancia Normativa Central en conjunto con el Órgano Interno de Control realizará verificaciones de manera trimestral con el objetivo de validar la consistencia de la información.</w:t>
            </w:r>
          </w:p>
        </w:tc>
      </w:tr>
      <w:tr w:rsidR="00E021A5" w:rsidRPr="00E021A5" w:rsidTr="00E021A5">
        <w:trPr>
          <w:trHeight w:val="1135"/>
        </w:trPr>
        <w:tc>
          <w:tcPr>
            <w:tcW w:w="1980" w:type="dxa"/>
            <w:vMerge/>
          </w:tcPr>
          <w:p w:rsidR="00E021A5" w:rsidRPr="00E021A5" w:rsidRDefault="00E021A5" w:rsidP="00F5231E">
            <w:pPr>
              <w:jc w:val="center"/>
              <w:rPr>
                <w:rFonts w:ascii="Soberana Sans" w:hAnsi="Soberana Sans" w:cs="Arial"/>
                <w:b/>
                <w:sz w:val="18"/>
                <w:szCs w:val="18"/>
              </w:rPr>
            </w:pPr>
          </w:p>
        </w:tc>
        <w:tc>
          <w:tcPr>
            <w:tcW w:w="3451" w:type="dxa"/>
            <w:vAlign w:val="center"/>
          </w:tcPr>
          <w:p w:rsidR="00E021A5" w:rsidRPr="00E021A5" w:rsidRDefault="00E021A5" w:rsidP="00B837EB">
            <w:pPr>
              <w:pStyle w:val="Prrafodelista"/>
              <w:numPr>
                <w:ilvl w:val="0"/>
                <w:numId w:val="2"/>
              </w:numPr>
              <w:ind w:left="317"/>
              <w:jc w:val="both"/>
              <w:rPr>
                <w:rFonts w:ascii="Soberana Sans" w:hAnsi="Soberana Sans" w:cs="Arial"/>
                <w:sz w:val="18"/>
                <w:szCs w:val="18"/>
              </w:rPr>
            </w:pPr>
            <w:r w:rsidRPr="00E021A5">
              <w:rPr>
                <w:rFonts w:ascii="Soberana Sans" w:hAnsi="Soberana Sans" w:cs="Arial"/>
                <w:sz w:val="18"/>
                <w:szCs w:val="18"/>
              </w:rPr>
              <w:t>Difundir en el portal Web de la SCT los proyectos aprobados para el PET 2016.</w:t>
            </w:r>
          </w:p>
        </w:tc>
        <w:tc>
          <w:tcPr>
            <w:tcW w:w="7565" w:type="dxa"/>
            <w:vMerge w:val="restart"/>
            <w:vAlign w:val="center"/>
          </w:tcPr>
          <w:p w:rsidR="00E021A5" w:rsidRPr="00E021A5" w:rsidRDefault="00E021A5" w:rsidP="00517845">
            <w:pPr>
              <w:jc w:val="both"/>
              <w:rPr>
                <w:rFonts w:ascii="Soberana Sans" w:hAnsi="Soberana Sans" w:cs="Arial"/>
                <w:b/>
                <w:sz w:val="18"/>
                <w:szCs w:val="18"/>
              </w:rPr>
            </w:pPr>
            <w:r w:rsidRPr="00E021A5">
              <w:rPr>
                <w:rFonts w:ascii="Soberana Sans" w:hAnsi="Soberana Sans" w:cs="Arial"/>
                <w:b/>
                <w:sz w:val="18"/>
                <w:szCs w:val="18"/>
              </w:rPr>
              <w:t>Se suscriben las propuestas</w:t>
            </w:r>
          </w:p>
          <w:p w:rsidR="00E021A5" w:rsidRPr="00E021A5" w:rsidRDefault="00E021A5" w:rsidP="00B837EB">
            <w:pPr>
              <w:jc w:val="both"/>
              <w:rPr>
                <w:rFonts w:ascii="Soberana Sans" w:hAnsi="Soberana Sans" w:cs="Arial"/>
                <w:sz w:val="18"/>
                <w:szCs w:val="18"/>
              </w:rPr>
            </w:pPr>
            <w:r w:rsidRPr="00E021A5">
              <w:rPr>
                <w:rFonts w:ascii="Soberana Sans" w:hAnsi="Soberana Sans" w:cs="Arial"/>
                <w:sz w:val="18"/>
                <w:szCs w:val="18"/>
              </w:rPr>
              <w:t xml:space="preserve">Se fortalecerá el </w:t>
            </w:r>
            <w:proofErr w:type="spellStart"/>
            <w:r w:rsidRPr="00E021A5">
              <w:rPr>
                <w:rFonts w:ascii="Soberana Sans" w:hAnsi="Soberana Sans" w:cs="Arial"/>
                <w:sz w:val="18"/>
                <w:szCs w:val="18"/>
              </w:rPr>
              <w:t>micrositio</w:t>
            </w:r>
            <w:proofErr w:type="spellEnd"/>
            <w:r w:rsidRPr="00E021A5">
              <w:rPr>
                <w:rFonts w:ascii="Soberana Sans" w:hAnsi="Soberana Sans" w:cs="Arial"/>
                <w:sz w:val="18"/>
                <w:szCs w:val="18"/>
              </w:rPr>
              <w:t xml:space="preserve"> del Programa de Empleo Temporal ubicado en el portal Web la SCT, con el propósito de difundir la información relativa a la operación del Programa y de esta manera dar mayor transparencia a los recursos asignados. Cabe destacar que la actualización de la información se hará de forma bimestral.</w:t>
            </w:r>
          </w:p>
          <w:p w:rsidR="00E021A5" w:rsidRPr="00E021A5" w:rsidRDefault="00E021A5" w:rsidP="00B837EB">
            <w:pPr>
              <w:jc w:val="both"/>
              <w:rPr>
                <w:rFonts w:ascii="Soberana Sans" w:hAnsi="Soberana Sans" w:cs="Arial"/>
                <w:sz w:val="18"/>
                <w:szCs w:val="18"/>
              </w:rPr>
            </w:pPr>
          </w:p>
        </w:tc>
      </w:tr>
      <w:tr w:rsidR="00E021A5" w:rsidRPr="00E021A5" w:rsidTr="00E021A5">
        <w:trPr>
          <w:trHeight w:val="2555"/>
        </w:trPr>
        <w:tc>
          <w:tcPr>
            <w:tcW w:w="1980" w:type="dxa"/>
            <w:vMerge/>
          </w:tcPr>
          <w:p w:rsidR="00E021A5" w:rsidRPr="00E021A5" w:rsidRDefault="00E021A5" w:rsidP="00F5231E">
            <w:pPr>
              <w:jc w:val="center"/>
              <w:rPr>
                <w:rFonts w:ascii="Soberana Sans" w:hAnsi="Soberana Sans" w:cs="Arial"/>
                <w:b/>
                <w:sz w:val="18"/>
                <w:szCs w:val="18"/>
              </w:rPr>
            </w:pPr>
          </w:p>
        </w:tc>
        <w:tc>
          <w:tcPr>
            <w:tcW w:w="3451" w:type="dxa"/>
            <w:vAlign w:val="center"/>
          </w:tcPr>
          <w:p w:rsidR="00E021A5" w:rsidRPr="00E021A5" w:rsidRDefault="00E021A5" w:rsidP="00B837EB">
            <w:pPr>
              <w:pStyle w:val="Prrafodelista"/>
              <w:numPr>
                <w:ilvl w:val="0"/>
                <w:numId w:val="2"/>
              </w:numPr>
              <w:ind w:left="317"/>
              <w:jc w:val="both"/>
              <w:rPr>
                <w:rFonts w:ascii="Soberana Sans" w:hAnsi="Soberana Sans" w:cs="Arial"/>
                <w:sz w:val="18"/>
                <w:szCs w:val="18"/>
              </w:rPr>
            </w:pPr>
            <w:r w:rsidRPr="00E021A5">
              <w:rPr>
                <w:rFonts w:ascii="Soberana Sans" w:hAnsi="Soberana Sans" w:cs="Arial"/>
                <w:sz w:val="18"/>
                <w:szCs w:val="18"/>
              </w:rPr>
              <w:t xml:space="preserve">Transparentar en el portal Web de la SCT el ejercicio de los recursos destinados a: Apoyo económico al beneficiario y a acciones de promoción y participación social; adquisición o arrendamiento de herramientas, materiales, equipo o costos de transporte y; operación, supervisión, difusión, seguimiento y evaluación externa del programa. </w:t>
            </w:r>
          </w:p>
        </w:tc>
        <w:tc>
          <w:tcPr>
            <w:tcW w:w="7565" w:type="dxa"/>
            <w:vMerge/>
          </w:tcPr>
          <w:p w:rsidR="00E021A5" w:rsidRPr="00E021A5" w:rsidRDefault="00E021A5" w:rsidP="00517845">
            <w:pPr>
              <w:jc w:val="both"/>
              <w:rPr>
                <w:rFonts w:ascii="Soberana Sans" w:hAnsi="Soberana Sans" w:cs="Arial"/>
                <w:b/>
                <w:sz w:val="18"/>
                <w:szCs w:val="18"/>
              </w:rPr>
            </w:pPr>
          </w:p>
        </w:tc>
      </w:tr>
      <w:tr w:rsidR="00E021A5" w:rsidRPr="00E021A5" w:rsidTr="00E021A5">
        <w:trPr>
          <w:trHeight w:val="1967"/>
        </w:trPr>
        <w:tc>
          <w:tcPr>
            <w:tcW w:w="1980" w:type="dxa"/>
            <w:vMerge/>
          </w:tcPr>
          <w:p w:rsidR="00E021A5" w:rsidRPr="00E021A5" w:rsidRDefault="00E021A5" w:rsidP="00F5231E">
            <w:pPr>
              <w:jc w:val="center"/>
              <w:rPr>
                <w:rFonts w:ascii="Soberana Sans" w:hAnsi="Soberana Sans" w:cs="Arial"/>
                <w:b/>
                <w:sz w:val="18"/>
                <w:szCs w:val="18"/>
              </w:rPr>
            </w:pPr>
          </w:p>
        </w:tc>
        <w:tc>
          <w:tcPr>
            <w:tcW w:w="3451" w:type="dxa"/>
            <w:vAlign w:val="center"/>
          </w:tcPr>
          <w:p w:rsidR="00E021A5" w:rsidRPr="00E021A5" w:rsidRDefault="00E021A5" w:rsidP="00E75EC6">
            <w:pPr>
              <w:pStyle w:val="Prrafodelista"/>
              <w:numPr>
                <w:ilvl w:val="0"/>
                <w:numId w:val="2"/>
              </w:numPr>
              <w:ind w:left="317"/>
              <w:jc w:val="both"/>
              <w:rPr>
                <w:rFonts w:ascii="Soberana Sans" w:hAnsi="Soberana Sans" w:cs="Arial"/>
                <w:sz w:val="18"/>
                <w:szCs w:val="18"/>
              </w:rPr>
            </w:pPr>
            <w:r w:rsidRPr="00E021A5">
              <w:rPr>
                <w:rFonts w:ascii="Soberana Sans" w:hAnsi="Soberana Sans" w:cs="Arial"/>
                <w:sz w:val="18"/>
                <w:szCs w:val="18"/>
              </w:rPr>
              <w:t xml:space="preserve">Integrar un padrón único como en otros programas e instituciones, donde sepamos que falta, además de incluir un componente psicosocial socioeducativo. </w:t>
            </w:r>
          </w:p>
        </w:tc>
        <w:tc>
          <w:tcPr>
            <w:tcW w:w="7565" w:type="dxa"/>
          </w:tcPr>
          <w:p w:rsidR="00E021A5" w:rsidRPr="00E021A5" w:rsidRDefault="00E021A5" w:rsidP="00D50596">
            <w:pPr>
              <w:jc w:val="both"/>
              <w:rPr>
                <w:rFonts w:ascii="Soberana Sans" w:hAnsi="Soberana Sans" w:cs="Arial"/>
                <w:b/>
                <w:sz w:val="18"/>
                <w:szCs w:val="18"/>
              </w:rPr>
            </w:pPr>
            <w:r w:rsidRPr="00E021A5">
              <w:rPr>
                <w:rFonts w:ascii="Soberana Sans" w:hAnsi="Soberana Sans" w:cs="Arial"/>
                <w:b/>
                <w:sz w:val="18"/>
                <w:szCs w:val="18"/>
              </w:rPr>
              <w:t>Se suscribe parcialmente</w:t>
            </w:r>
          </w:p>
          <w:p w:rsidR="00E021A5" w:rsidRPr="00E021A5" w:rsidRDefault="00E021A5" w:rsidP="00440C92">
            <w:pPr>
              <w:jc w:val="both"/>
              <w:rPr>
                <w:rFonts w:ascii="Soberana Sans" w:hAnsi="Soberana Sans" w:cs="Arial"/>
                <w:sz w:val="18"/>
                <w:szCs w:val="18"/>
              </w:rPr>
            </w:pPr>
            <w:bookmarkStart w:id="0" w:name="_GoBack"/>
            <w:bookmarkEnd w:id="0"/>
            <w:r w:rsidRPr="00E021A5">
              <w:rPr>
                <w:rFonts w:ascii="Soberana Sans" w:hAnsi="Soberana Sans" w:cs="Arial"/>
                <w:sz w:val="18"/>
                <w:szCs w:val="18"/>
              </w:rPr>
              <w:t xml:space="preserve">La SCT a través de la DGAPET promoverá ante la SEDESOL su participación en la integración del padrón de beneficiarios en el SIFODE, toda vez que éste representa el padrón único de beneficiarios del Programa, de acuerdo con el numeral 8.3 de las Reglas de Operación 2016. </w:t>
            </w:r>
          </w:p>
          <w:p w:rsidR="00E021A5" w:rsidRPr="00E021A5" w:rsidRDefault="00E021A5" w:rsidP="00440C92">
            <w:pPr>
              <w:jc w:val="both"/>
              <w:rPr>
                <w:rFonts w:ascii="Soberana Sans" w:hAnsi="Soberana Sans" w:cs="Arial"/>
                <w:sz w:val="18"/>
                <w:szCs w:val="18"/>
              </w:rPr>
            </w:pPr>
          </w:p>
          <w:p w:rsidR="00E021A5" w:rsidRPr="00E021A5" w:rsidRDefault="00E021A5" w:rsidP="00780B7B">
            <w:pPr>
              <w:jc w:val="both"/>
              <w:rPr>
                <w:rFonts w:ascii="Soberana Sans" w:hAnsi="Soberana Sans" w:cs="Arial"/>
                <w:sz w:val="18"/>
                <w:szCs w:val="18"/>
              </w:rPr>
            </w:pPr>
            <w:r w:rsidRPr="00E021A5">
              <w:rPr>
                <w:rFonts w:ascii="Soberana Sans" w:hAnsi="Soberana Sans" w:cs="Arial"/>
                <w:sz w:val="18"/>
                <w:szCs w:val="18"/>
              </w:rPr>
              <w:t>Se enviará Oficio relativo al tema durante el primer trimestre de 2016.</w:t>
            </w:r>
          </w:p>
        </w:tc>
      </w:tr>
    </w:tbl>
    <w:p w:rsidR="008568CF" w:rsidRDefault="008568CF"/>
    <w:sectPr w:rsidR="008568CF" w:rsidSect="009478D4">
      <w:headerReference w:type="default" r:id="rId8"/>
      <w:pgSz w:w="15840" w:h="12240" w:orient="landscape"/>
      <w:pgMar w:top="15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A9" w:rsidRDefault="00065DA9" w:rsidP="00E82F4A">
      <w:pPr>
        <w:spacing w:after="0" w:line="240" w:lineRule="auto"/>
      </w:pPr>
      <w:r>
        <w:separator/>
      </w:r>
    </w:p>
  </w:endnote>
  <w:endnote w:type="continuationSeparator" w:id="0">
    <w:p w:rsidR="00065DA9" w:rsidRDefault="00065DA9" w:rsidP="00E8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berana Sans">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A9" w:rsidRDefault="00065DA9" w:rsidP="00E82F4A">
      <w:pPr>
        <w:spacing w:after="0" w:line="240" w:lineRule="auto"/>
      </w:pPr>
      <w:r>
        <w:separator/>
      </w:r>
    </w:p>
  </w:footnote>
  <w:footnote w:type="continuationSeparator" w:id="0">
    <w:p w:rsidR="00065DA9" w:rsidRDefault="00065DA9" w:rsidP="00E82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4A" w:rsidRPr="00E021A5" w:rsidRDefault="00E82F4A" w:rsidP="00E82F4A">
    <w:pPr>
      <w:pStyle w:val="Encabezado"/>
      <w:jc w:val="right"/>
      <w:rPr>
        <w:rFonts w:ascii="Soberana Sans" w:hAnsi="Soberana Sans" w:cs="Arial"/>
        <w:b/>
        <w:bCs/>
        <w:noProof/>
        <w:sz w:val="20"/>
        <w:szCs w:val="20"/>
        <w:lang w:eastAsia="es-MX"/>
      </w:rPr>
    </w:pPr>
    <w:r w:rsidRPr="00E021A5">
      <w:rPr>
        <w:rFonts w:ascii="Soberana Sans" w:hAnsi="Soberana Sans" w:cs="Arial"/>
        <w:b/>
        <w:bCs/>
        <w:noProof/>
        <w:sz w:val="20"/>
        <w:szCs w:val="20"/>
        <w:lang w:eastAsia="es-MX"/>
      </w:rPr>
      <w:drawing>
        <wp:anchor distT="0" distB="0" distL="114300" distR="114300" simplePos="0" relativeHeight="251659264" behindDoc="0" locked="0" layoutInCell="1" allowOverlap="1" wp14:anchorId="40234098" wp14:editId="2371CF01">
          <wp:simplePos x="0" y="0"/>
          <wp:positionH relativeFrom="column">
            <wp:posOffset>-721385</wp:posOffset>
          </wp:positionH>
          <wp:positionV relativeFrom="paragraph">
            <wp:posOffset>-81043</wp:posOffset>
          </wp:positionV>
          <wp:extent cx="2592705" cy="755828"/>
          <wp:effectExtent l="0" t="0" r="0" b="6350"/>
          <wp:wrapNone/>
          <wp:docPr id="3" name="Imagen 3" descr="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705" cy="7558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21A5">
      <w:rPr>
        <w:rFonts w:ascii="Soberana Sans" w:hAnsi="Soberana Sans" w:cs="Arial"/>
        <w:b/>
        <w:bCs/>
      </w:rPr>
      <w:t>Subsecretaría de Infraestructura</w:t>
    </w:r>
  </w:p>
  <w:p w:rsidR="00E82F4A" w:rsidRPr="00E021A5" w:rsidRDefault="00E82F4A" w:rsidP="00E82F4A">
    <w:pPr>
      <w:pStyle w:val="Encabezado"/>
      <w:jc w:val="right"/>
      <w:rPr>
        <w:rFonts w:ascii="Soberana Sans" w:hAnsi="Soberana Sans" w:cs="Arial"/>
        <w:b/>
        <w:bCs/>
        <w:noProof/>
        <w:sz w:val="20"/>
        <w:szCs w:val="20"/>
        <w:lang w:eastAsia="es-MX"/>
      </w:rPr>
    </w:pPr>
    <w:r w:rsidRPr="00E021A5">
      <w:rPr>
        <w:rFonts w:ascii="Soberana Sans" w:hAnsi="Soberana Sans" w:cs="Arial"/>
        <w:b/>
        <w:bCs/>
      </w:rPr>
      <w:t>Dirección General de Carreteras</w:t>
    </w:r>
  </w:p>
  <w:p w:rsidR="00E82F4A" w:rsidRPr="00E021A5" w:rsidRDefault="00E82F4A" w:rsidP="00E82F4A">
    <w:pPr>
      <w:pStyle w:val="Encabezado"/>
      <w:jc w:val="right"/>
      <w:rPr>
        <w:rFonts w:ascii="Soberana Sans" w:hAnsi="Soberana Sans" w:cs="Arial"/>
        <w:b/>
        <w:bCs/>
        <w:noProof/>
        <w:sz w:val="20"/>
        <w:szCs w:val="20"/>
        <w:lang w:eastAsia="es-MX"/>
      </w:rPr>
    </w:pPr>
    <w:r w:rsidRPr="00E021A5">
      <w:rPr>
        <w:rFonts w:ascii="Soberana Sans" w:hAnsi="Soberana Sans" w:cs="Arial"/>
        <w:b/>
        <w:bCs/>
      </w:rPr>
      <w:t>Dirección General Adjunta del PET</w:t>
    </w:r>
    <w:r w:rsidRPr="00E021A5">
      <w:rPr>
        <w:rFonts w:ascii="Soberana Sans" w:hAnsi="Soberana Sans" w:cs="Arial"/>
        <w:b/>
        <w:bCs/>
        <w:noProof/>
        <w:sz w:val="20"/>
        <w:szCs w:val="20"/>
        <w:lang w:eastAsia="es-MX"/>
      </w:rPr>
      <w:t xml:space="preserve"> </w:t>
    </w:r>
  </w:p>
  <w:p w:rsidR="00224C6F" w:rsidRPr="00E021A5" w:rsidRDefault="00224C6F" w:rsidP="009478D4">
    <w:pPr>
      <w:spacing w:after="0"/>
      <w:jc w:val="center"/>
      <w:rPr>
        <w:rFonts w:ascii="Soberana Sans" w:hAnsi="Soberana Sans"/>
        <w:b/>
        <w:sz w:val="20"/>
        <w:szCs w:val="20"/>
      </w:rPr>
    </w:pPr>
  </w:p>
  <w:p w:rsidR="009478D4" w:rsidRPr="00E021A5" w:rsidRDefault="009478D4" w:rsidP="009478D4">
    <w:pPr>
      <w:spacing w:after="0"/>
      <w:jc w:val="center"/>
      <w:rPr>
        <w:rFonts w:ascii="Soberana Sans" w:hAnsi="Soberana Sans"/>
        <w:b/>
        <w:sz w:val="20"/>
        <w:szCs w:val="20"/>
      </w:rPr>
    </w:pPr>
    <w:r w:rsidRPr="00E021A5">
      <w:rPr>
        <w:rFonts w:ascii="Soberana Sans" w:hAnsi="Soberana Sans"/>
        <w:b/>
        <w:sz w:val="20"/>
        <w:szCs w:val="20"/>
      </w:rPr>
      <w:t>Respuestas a las Propuestas derivadas del Ejercicio de Participación Ciudadana</w:t>
    </w:r>
    <w:r w:rsidR="00224C6F" w:rsidRPr="00E021A5">
      <w:rPr>
        <w:rFonts w:ascii="Soberana Sans" w:hAnsi="Soberana Sans"/>
        <w:b/>
        <w:sz w:val="20"/>
        <w:szCs w:val="20"/>
      </w:rPr>
      <w:t xml:space="preserve"> 2015</w:t>
    </w:r>
    <w:r w:rsidRPr="00E021A5">
      <w:rPr>
        <w:rFonts w:ascii="Soberana Sans" w:hAnsi="Soberana Sans"/>
        <w:b/>
        <w:sz w:val="20"/>
        <w:szCs w:val="20"/>
      </w:rPr>
      <w:t xml:space="preserve"> </w:t>
    </w:r>
  </w:p>
  <w:p w:rsidR="009478D4" w:rsidRPr="00E021A5" w:rsidRDefault="009478D4" w:rsidP="009478D4">
    <w:pPr>
      <w:spacing w:after="0"/>
      <w:jc w:val="center"/>
      <w:rPr>
        <w:rFonts w:ascii="Soberana Sans" w:hAnsi="Soberana Sans"/>
        <w:b/>
        <w:sz w:val="20"/>
        <w:szCs w:val="20"/>
      </w:rPr>
    </w:pPr>
  </w:p>
  <w:p w:rsidR="009478D4" w:rsidRPr="005E04F1" w:rsidRDefault="00B33438" w:rsidP="009478D4">
    <w:pPr>
      <w:spacing w:after="0"/>
      <w:jc w:val="right"/>
      <w:rPr>
        <w:rFonts w:ascii="Century" w:hAnsi="Century"/>
        <w:b/>
        <w:sz w:val="20"/>
        <w:szCs w:val="20"/>
      </w:rPr>
    </w:pPr>
    <w:r w:rsidRPr="00E021A5">
      <w:rPr>
        <w:rFonts w:ascii="Soberana Sans" w:hAnsi="Soberana Sans"/>
        <w:b/>
        <w:sz w:val="20"/>
        <w:szCs w:val="20"/>
      </w:rPr>
      <w:t>1</w:t>
    </w:r>
    <w:r w:rsidR="009478D4" w:rsidRPr="00E021A5">
      <w:rPr>
        <w:rFonts w:ascii="Soberana Sans" w:hAnsi="Soberana Sans"/>
        <w:b/>
        <w:sz w:val="20"/>
        <w:szCs w:val="20"/>
      </w:rPr>
      <w:t xml:space="preserve">5 de </w:t>
    </w:r>
    <w:r w:rsidRPr="00E021A5">
      <w:rPr>
        <w:rFonts w:ascii="Soberana Sans" w:hAnsi="Soberana Sans"/>
        <w:b/>
        <w:sz w:val="20"/>
        <w:szCs w:val="20"/>
      </w:rPr>
      <w:t>Diciembre de 2015</w:t>
    </w:r>
    <w:r>
      <w:rPr>
        <w:rFonts w:ascii="Century" w:hAnsi="Century"/>
        <w:b/>
        <w:sz w:val="20"/>
        <w:szCs w:val="20"/>
      </w:rPr>
      <w:t xml:space="preserve"> </w:t>
    </w:r>
  </w:p>
  <w:tbl>
    <w:tblPr>
      <w:tblStyle w:val="Tablaconcuadrcula"/>
      <w:tblW w:w="0" w:type="auto"/>
      <w:tblLook w:val="04A0" w:firstRow="1" w:lastRow="0" w:firstColumn="1" w:lastColumn="0" w:noHBand="0" w:noVBand="1"/>
    </w:tblPr>
    <w:tblGrid>
      <w:gridCol w:w="1980"/>
      <w:gridCol w:w="3451"/>
      <w:gridCol w:w="7565"/>
    </w:tblGrid>
    <w:tr w:rsidR="009478D4" w:rsidRPr="00CA0AE6" w:rsidTr="008568CF">
      <w:tc>
        <w:tcPr>
          <w:tcW w:w="1980" w:type="dxa"/>
          <w:shd w:val="clear" w:color="auto" w:fill="A6A6A6" w:themeFill="background1" w:themeFillShade="A6"/>
          <w:vAlign w:val="center"/>
        </w:tcPr>
        <w:p w:rsidR="009478D4" w:rsidRPr="00E021A5" w:rsidRDefault="00AF0F5D" w:rsidP="009478D4">
          <w:pPr>
            <w:jc w:val="center"/>
            <w:rPr>
              <w:rFonts w:ascii="Soberana Sans" w:hAnsi="Soberana Sans" w:cs="Arial"/>
              <w:b/>
              <w:sz w:val="20"/>
              <w:szCs w:val="20"/>
            </w:rPr>
          </w:pPr>
          <w:r w:rsidRPr="00E021A5">
            <w:rPr>
              <w:rFonts w:ascii="Soberana Sans" w:hAnsi="Soberana Sans" w:cs="Arial"/>
              <w:b/>
              <w:sz w:val="20"/>
              <w:szCs w:val="20"/>
            </w:rPr>
            <w:t>Acción</w:t>
          </w:r>
        </w:p>
      </w:tc>
      <w:tc>
        <w:tcPr>
          <w:tcW w:w="3451" w:type="dxa"/>
          <w:shd w:val="clear" w:color="auto" w:fill="A6A6A6" w:themeFill="background1" w:themeFillShade="A6"/>
          <w:vAlign w:val="center"/>
        </w:tcPr>
        <w:p w:rsidR="009478D4" w:rsidRPr="00E021A5" w:rsidRDefault="009478D4" w:rsidP="009478D4">
          <w:pPr>
            <w:jc w:val="center"/>
            <w:rPr>
              <w:rFonts w:ascii="Soberana Sans" w:hAnsi="Soberana Sans" w:cs="Arial"/>
              <w:b/>
              <w:sz w:val="20"/>
              <w:szCs w:val="20"/>
            </w:rPr>
          </w:pPr>
          <w:r w:rsidRPr="00E021A5">
            <w:rPr>
              <w:rFonts w:ascii="Soberana Sans" w:hAnsi="Soberana Sans" w:cs="Arial"/>
              <w:b/>
              <w:sz w:val="20"/>
              <w:szCs w:val="20"/>
            </w:rPr>
            <w:t>Propuesta</w:t>
          </w:r>
        </w:p>
      </w:tc>
      <w:tc>
        <w:tcPr>
          <w:tcW w:w="7565" w:type="dxa"/>
          <w:shd w:val="clear" w:color="auto" w:fill="A6A6A6" w:themeFill="background1" w:themeFillShade="A6"/>
          <w:vAlign w:val="center"/>
        </w:tcPr>
        <w:p w:rsidR="009478D4" w:rsidRPr="00E021A5" w:rsidRDefault="009478D4" w:rsidP="009478D4">
          <w:pPr>
            <w:jc w:val="center"/>
            <w:rPr>
              <w:rFonts w:ascii="Soberana Sans" w:hAnsi="Soberana Sans" w:cs="Arial"/>
              <w:b/>
              <w:sz w:val="20"/>
              <w:szCs w:val="20"/>
            </w:rPr>
          </w:pPr>
          <w:r w:rsidRPr="00E021A5">
            <w:rPr>
              <w:rFonts w:ascii="Soberana Sans" w:hAnsi="Soberana Sans" w:cs="Arial"/>
              <w:b/>
              <w:sz w:val="20"/>
              <w:szCs w:val="20"/>
            </w:rPr>
            <w:t>Respuestas</w:t>
          </w:r>
        </w:p>
      </w:tc>
    </w:tr>
  </w:tbl>
  <w:p w:rsidR="009478D4" w:rsidRPr="009478D4" w:rsidRDefault="009478D4" w:rsidP="009478D4">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9D9"/>
    <w:multiLevelType w:val="hybridMultilevel"/>
    <w:tmpl w:val="50B21944"/>
    <w:lvl w:ilvl="0" w:tplc="B8A89E0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4D5A00"/>
    <w:multiLevelType w:val="hybridMultilevel"/>
    <w:tmpl w:val="06E845CE"/>
    <w:lvl w:ilvl="0" w:tplc="C20E4D2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F676F"/>
    <w:multiLevelType w:val="hybridMultilevel"/>
    <w:tmpl w:val="A94C7DE2"/>
    <w:lvl w:ilvl="0" w:tplc="2DF0C87E">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E1657C"/>
    <w:multiLevelType w:val="hybridMultilevel"/>
    <w:tmpl w:val="35B01EF8"/>
    <w:lvl w:ilvl="0" w:tplc="5BC06BD2">
      <w:start w:val="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60D2F"/>
    <w:multiLevelType w:val="hybridMultilevel"/>
    <w:tmpl w:val="BA1C5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810214"/>
    <w:multiLevelType w:val="multilevel"/>
    <w:tmpl w:val="7F1CF8B4"/>
    <w:lvl w:ilvl="0">
      <w:start w:val="1"/>
      <w:numFmt w:val="decimal"/>
      <w:lvlText w:val="%1."/>
      <w:lvlJc w:val="left"/>
      <w:pPr>
        <w:tabs>
          <w:tab w:val="num" w:pos="720"/>
        </w:tabs>
        <w:ind w:left="720" w:hanging="360"/>
      </w:pPr>
      <w:rPr>
        <w:b/>
      </w:rPr>
    </w:lvl>
    <w:lvl w:ilvl="1">
      <w:start w:val="3"/>
      <w:numFmt w:val="decimal"/>
      <w:lvlText w:val="%2."/>
      <w:lvlJc w:val="left"/>
      <w:pPr>
        <w:ind w:left="1440" w:hanging="360"/>
      </w:pPr>
      <w:rPr>
        <w:rFonts w:cstheme="minorBid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6475E1"/>
    <w:multiLevelType w:val="hybridMultilevel"/>
    <w:tmpl w:val="38243828"/>
    <w:lvl w:ilvl="0" w:tplc="E9F8718C">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AA5AC8"/>
    <w:multiLevelType w:val="hybridMultilevel"/>
    <w:tmpl w:val="0CD6C2AC"/>
    <w:lvl w:ilvl="0" w:tplc="2CE488EE">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9B2B8A"/>
    <w:multiLevelType w:val="hybridMultilevel"/>
    <w:tmpl w:val="1B4A2738"/>
    <w:lvl w:ilvl="0" w:tplc="3792302E">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F4"/>
    <w:rsid w:val="00017DA3"/>
    <w:rsid w:val="000540F4"/>
    <w:rsid w:val="0005444B"/>
    <w:rsid w:val="000572C9"/>
    <w:rsid w:val="00065DA9"/>
    <w:rsid w:val="000D6544"/>
    <w:rsid w:val="001A0CA1"/>
    <w:rsid w:val="001E50A1"/>
    <w:rsid w:val="002012CD"/>
    <w:rsid w:val="00201E6F"/>
    <w:rsid w:val="0021455F"/>
    <w:rsid w:val="00224C6F"/>
    <w:rsid w:val="0026087E"/>
    <w:rsid w:val="002971BD"/>
    <w:rsid w:val="002D1051"/>
    <w:rsid w:val="002D1244"/>
    <w:rsid w:val="002D4FF9"/>
    <w:rsid w:val="00325974"/>
    <w:rsid w:val="003B6C2D"/>
    <w:rsid w:val="003F5BD4"/>
    <w:rsid w:val="00420DC5"/>
    <w:rsid w:val="00440C92"/>
    <w:rsid w:val="0046653D"/>
    <w:rsid w:val="00487900"/>
    <w:rsid w:val="004B7817"/>
    <w:rsid w:val="004F3717"/>
    <w:rsid w:val="00500FDB"/>
    <w:rsid w:val="00517845"/>
    <w:rsid w:val="0054570E"/>
    <w:rsid w:val="005D588C"/>
    <w:rsid w:val="005E77D4"/>
    <w:rsid w:val="006D1F5F"/>
    <w:rsid w:val="0076589C"/>
    <w:rsid w:val="00780B7B"/>
    <w:rsid w:val="007C04DD"/>
    <w:rsid w:val="007E1684"/>
    <w:rsid w:val="00827134"/>
    <w:rsid w:val="00844074"/>
    <w:rsid w:val="008568CF"/>
    <w:rsid w:val="008E21B6"/>
    <w:rsid w:val="008E278B"/>
    <w:rsid w:val="008F1612"/>
    <w:rsid w:val="008F7FFB"/>
    <w:rsid w:val="00946D99"/>
    <w:rsid w:val="009478D4"/>
    <w:rsid w:val="0096525B"/>
    <w:rsid w:val="009A3FE0"/>
    <w:rsid w:val="009E0446"/>
    <w:rsid w:val="00A142C6"/>
    <w:rsid w:val="00A17811"/>
    <w:rsid w:val="00A321B1"/>
    <w:rsid w:val="00AA7F2E"/>
    <w:rsid w:val="00AC2AB2"/>
    <w:rsid w:val="00AE12C3"/>
    <w:rsid w:val="00AF0F5D"/>
    <w:rsid w:val="00B3011F"/>
    <w:rsid w:val="00B33438"/>
    <w:rsid w:val="00B3483D"/>
    <w:rsid w:val="00B837EB"/>
    <w:rsid w:val="00B96594"/>
    <w:rsid w:val="00BD275B"/>
    <w:rsid w:val="00C16D24"/>
    <w:rsid w:val="00C63184"/>
    <w:rsid w:val="00C74F8A"/>
    <w:rsid w:val="00CA0AE6"/>
    <w:rsid w:val="00CD5B02"/>
    <w:rsid w:val="00CF2CA5"/>
    <w:rsid w:val="00D47244"/>
    <w:rsid w:val="00D50596"/>
    <w:rsid w:val="00D554AD"/>
    <w:rsid w:val="00DE6A6E"/>
    <w:rsid w:val="00E021A5"/>
    <w:rsid w:val="00E03845"/>
    <w:rsid w:val="00E75EC6"/>
    <w:rsid w:val="00E76D9C"/>
    <w:rsid w:val="00E82F4A"/>
    <w:rsid w:val="00EB003F"/>
    <w:rsid w:val="00F00DC9"/>
    <w:rsid w:val="00F05D91"/>
    <w:rsid w:val="00F5231E"/>
    <w:rsid w:val="00F71D4C"/>
    <w:rsid w:val="00F750C7"/>
    <w:rsid w:val="00F7759B"/>
    <w:rsid w:val="00F872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343DFA-755D-45C5-9F74-331A82A1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F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F4A"/>
  </w:style>
  <w:style w:type="paragraph" w:styleId="Piedepgina">
    <w:name w:val="footer"/>
    <w:basedOn w:val="Normal"/>
    <w:link w:val="PiedepginaCar"/>
    <w:uiPriority w:val="99"/>
    <w:unhideWhenUsed/>
    <w:rsid w:val="00E82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2F4A"/>
  </w:style>
  <w:style w:type="table" w:styleId="Tablaconcuadrcula">
    <w:name w:val="Table Grid"/>
    <w:basedOn w:val="Tablanormal"/>
    <w:uiPriority w:val="39"/>
    <w:rsid w:val="00E8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2F4A"/>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A0AE6"/>
    <w:rPr>
      <w:color w:val="0563C1" w:themeColor="hyperlink"/>
      <w:u w:val="single"/>
    </w:rPr>
  </w:style>
  <w:style w:type="character" w:styleId="Hipervnculovisitado">
    <w:name w:val="FollowedHyperlink"/>
    <w:basedOn w:val="Fuentedeprrafopredeter"/>
    <w:uiPriority w:val="99"/>
    <w:semiHidden/>
    <w:unhideWhenUsed/>
    <w:rsid w:val="00CA0AE6"/>
    <w:rPr>
      <w:color w:val="954F72" w:themeColor="followedHyperlink"/>
      <w:u w:val="single"/>
    </w:rPr>
  </w:style>
  <w:style w:type="paragraph" w:styleId="Textodeglobo">
    <w:name w:val="Balloon Text"/>
    <w:basedOn w:val="Normal"/>
    <w:link w:val="TextodegloboCar"/>
    <w:uiPriority w:val="99"/>
    <w:semiHidden/>
    <w:unhideWhenUsed/>
    <w:rsid w:val="00765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5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E08DE-1978-4D81-8159-50E703C0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655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Pedro Robles Rodriguez</dc:creator>
  <cp:keywords/>
  <dc:description/>
  <cp:lastModifiedBy>Ericsson Pedro Robles Rodriguez</cp:lastModifiedBy>
  <cp:revision>7</cp:revision>
  <cp:lastPrinted>2015-12-19T00:30:00Z</cp:lastPrinted>
  <dcterms:created xsi:type="dcterms:W3CDTF">2014-12-03T20:17:00Z</dcterms:created>
  <dcterms:modified xsi:type="dcterms:W3CDTF">2015-12-19T00:55:00Z</dcterms:modified>
</cp:coreProperties>
</file>